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E7C7B"/>
          <w:sz w:val="48"/>
          <w:szCs w:val="48"/>
        </w:rPr>
        <w:t xml:space="preserve">AETHELGARD</w:t>
      </w:r>
    </w:p>
    <w:p>
      <w:pPr>
        <w:spacing w:after="40"/>
        <w:jc w:val="center"/>
      </w:pPr>
      <w:r>
        <w:rPr>
          <w:b/>
          <w:bCs/>
          <w:color w:val="222222"/>
          <w:sz w:val="30"/>
          <w:szCs w:val="30"/>
        </w:rPr>
        <w:t xml:space="preserve">Evidence Record</w:t>
      </w:r>
    </w:p>
    <w:p>
      <w:pPr>
        <w:spacing w:after="40"/>
        <w:jc w:val="center"/>
      </w:pPr>
      <w:r>
        <w:rPr>
          <w:i/>
          <w:iCs/>
          <w:color w:val="5b6470"/>
          <w:sz w:val="20"/>
          <w:szCs w:val="20"/>
        </w:rPr>
        <w:t xml:space="preserve">Independent verification of Aethelgard-generated patches via the official SWE-bench harness</w:t>
      </w:r>
    </w:p>
    <w:p>
      <w:pPr>
        <w:spacing w:after="200"/>
        <w:jc w:val="center"/>
      </w:pPr>
      <w:r>
        <w:rPr>
          <w:sz w:val="20"/>
          <w:szCs w:val="20"/>
        </w:rPr>
        <w:t xml:space="preserve">20 September 2026</w:t>
      </w:r>
    </w:p>
    <w:p>
      <w:pPr>
        <w:spacing w:after="120"/>
      </w:pPr>
      <w:r>
        <w:rPr>
          <w:i/>
          <w:iCs/>
          <w:color w:val="5b6470"/>
        </w:rPr>
        <w:t xml:space="preserve">Every claim here is either backed by a re-runnable artifact or explicitly marked as not yet established.</w:t>
      </w:r>
    </w:p>
    <w:p>
      <w:pPr>
        <w:spacing w:after="120"/>
      </w:pPr>
      <w:r>
        <w:rPr>
          <w:b/>
          <w:bCs/>
        </w:rPr>
        <w:t xml:space="preserve">Project objective: </w:t>
      </w:r>
      <w:r>
        <w:t xml:space="preserve">Aethelgard is a research project whose central aim is bounded, gated, reversible recursive self-improvement for autonomous software repair. This record documents the progress independently confirmed to date; further objectives (unseen-bug generalization and recursive self-improvement on real instances) are in progress and will be published as they are proven.</w:t>
      </w:r>
    </w:p>
    <w:p>
      <w:pPr>
        <w:pStyle w:val="Heading1"/>
        <w:spacing w:after="120" w:before="240"/>
      </w:pPr>
      <w:r>
        <w:rPr>
          <w:color w:val="0E7C7B"/>
        </w:rPr>
        <w:t xml:space="preserve">1. Headline Result (Independently Verified)</w:t>
      </w:r>
    </w:p>
    <w:p>
      <w:pPr>
        <w:spacing w:after="120"/>
      </w:pPr>
      <w:r>
        <w:rPr>
          <w:b/>
          <w:bCs/>
        </w:rPr>
        <w:t xml:space="preserve">Five Aethelgard-generated patches were confirmed by the official SWE-bench evaluation harness.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00"/>
        <w:gridCol w:w="1800"/>
      </w:tblGrid>
      <w:tr>
        <w:tc>
          <w:tcPr>
            <w:tcW w:type="dxa" w:w="2600"/>
            <w:shd w:fill="0E7C7B" w:val="clear"/>
            <w:tcMar>
              <w:top w:type="dxa" w:w="40"/>
              <w:left w:type="dxa" w:w="80"/>
              <w:bottom w:type="dxa" w:w="40"/>
              <w:right w:type="dxa" w:w="80"/>
            </w:tcMar>
          </w:tcPr>
          <w:p>
            <w:r>
              <w:rPr>
                <w:b/>
                <w:bCs/>
                <w:color w:val="FFFFFF"/>
                <w:sz w:val="18"/>
                <w:szCs w:val="18"/>
              </w:rPr>
              <w:t xml:space="preserve">Instance</w:t>
            </w:r>
          </w:p>
        </w:tc>
        <w:tc>
          <w:tcPr>
            <w:tcW w:type="dxa" w:w="1900"/>
            <w:shd w:fill="0E7C7B" w:val="clear"/>
            <w:tcMar>
              <w:top w:type="dxa" w:w="40"/>
              <w:left w:type="dxa" w:w="80"/>
              <w:bottom w:type="dxa" w:w="40"/>
              <w:right w:type="dxa" w:w="80"/>
            </w:tcMar>
          </w:tcPr>
          <w:p>
            <w:r>
              <w:rPr>
                <w:b/>
                <w:bCs/>
                <w:color w:val="FFFFFF"/>
                <w:sz w:val="18"/>
                <w:szCs w:val="18"/>
              </w:rPr>
              <w:t xml:space="preserve">Repository</w:t>
            </w:r>
          </w:p>
        </w:tc>
        <w:tc>
          <w:tcPr>
            <w:tcW w:type="dxa" w:w="2200"/>
            <w:shd w:fill="0E7C7B" w:val="clear"/>
            <w:tcMar>
              <w:top w:type="dxa" w:w="40"/>
              <w:left w:type="dxa" w:w="80"/>
              <w:bottom w:type="dxa" w:w="40"/>
              <w:right w:type="dxa" w:w="80"/>
            </w:tcMar>
          </w:tcPr>
          <w:p>
            <w:r>
              <w:rPr>
                <w:b/>
                <w:bCs/>
                <w:color w:val="FFFFFF"/>
                <w:sz w:val="18"/>
                <w:szCs w:val="18"/>
              </w:rPr>
              <w:t xml:space="preserve">Local mechanism</w:t>
            </w:r>
          </w:p>
        </w:tc>
        <w:tc>
          <w:tcPr>
            <w:tcW w:type="dxa" w:w="1800"/>
            <w:shd w:fill="0E7C7B" w:val="clear"/>
            <w:tcMar>
              <w:top w:type="dxa" w:w="40"/>
              <w:left w:type="dxa" w:w="80"/>
              <w:bottom w:type="dxa" w:w="40"/>
              <w:right w:type="dxa" w:w="80"/>
            </w:tcMar>
          </w:tcPr>
          <w:p>
            <w:r>
              <w:rPr>
                <w:b/>
                <w:bCs/>
                <w:color w:val="FFFFFF"/>
                <w:sz w:val="18"/>
                <w:szCs w:val="18"/>
              </w:rPr>
              <w:t xml:space="preserve">Harness verdict</w:t>
            </w:r>
          </w:p>
        </w:tc>
      </w:tr>
      <w:tr>
        <w:tc>
          <w:tcPr>
            <w:tcW w:type="dxa" w:w="2600"/>
            <w:tcMar>
              <w:top w:type="dxa" w:w="40"/>
              <w:left w:type="dxa" w:w="80"/>
              <w:bottom w:type="dxa" w:w="40"/>
              <w:right w:type="dxa" w:w="80"/>
            </w:tcMar>
          </w:tcPr>
          <w:p>
            <w:r>
              <w:rPr>
                <w:sz w:val="18"/>
                <w:szCs w:val="18"/>
              </w:rPr>
              <w:t xml:space="preserve">astropy__astropy-12907</w:t>
            </w:r>
          </w:p>
        </w:tc>
        <w:tc>
          <w:tcPr>
            <w:tcW w:type="dxa" w:w="1900"/>
            <w:tcMar>
              <w:top w:type="dxa" w:w="40"/>
              <w:left w:type="dxa" w:w="80"/>
              <w:bottom w:type="dxa" w:w="40"/>
              <w:right w:type="dxa" w:w="80"/>
            </w:tcMar>
          </w:tcPr>
          <w:p>
            <w:r>
              <w:rPr>
                <w:sz w:val="18"/>
                <w:szCs w:val="18"/>
              </w:rPr>
              <w:t xml:space="preserve">astropy/astropy</w:t>
            </w:r>
          </w:p>
        </w:tc>
        <w:tc>
          <w:tcPr>
            <w:tcW w:type="dxa" w:w="2200"/>
            <w:tcMar>
              <w:top w:type="dxa" w:w="40"/>
              <w:left w:type="dxa" w:w="80"/>
              <w:bottom w:type="dxa" w:w="40"/>
              <w:right w:type="dxa" w:w="80"/>
            </w:tcMar>
          </w:tcPr>
          <w:p>
            <w:r>
              <w:rPr>
                <w:sz w:val="18"/>
                <w:szCs w:val="18"/>
              </w:rPr>
              <w:t xml:space="preserve">name substitution</w:t>
            </w:r>
          </w:p>
        </w:tc>
        <w:tc>
          <w:tcPr>
            <w:tcW w:type="dxa" w:w="1800"/>
            <w:tcMar>
              <w:top w:type="dxa" w:w="40"/>
              <w:left w:type="dxa" w:w="80"/>
              <w:bottom w:type="dxa" w:w="40"/>
              <w:right w:type="dxa" w:w="80"/>
            </w:tcMar>
          </w:tcPr>
          <w:p>
            <w:r>
              <w:rPr>
                <w:color w:val="1a7f37"/>
                <w:sz w:val="18"/>
                <w:szCs w:val="18"/>
              </w:rPr>
              <w:t xml:space="preserve">RESOLVED</w:t>
            </w:r>
          </w:p>
        </w:tc>
      </w:tr>
      <w:tr>
        <w:tc>
          <w:tcPr>
            <w:tcW w:type="dxa" w:w="2600"/>
            <w:tcMar>
              <w:top w:type="dxa" w:w="40"/>
              <w:left w:type="dxa" w:w="80"/>
              <w:bottom w:type="dxa" w:w="40"/>
              <w:right w:type="dxa" w:w="80"/>
            </w:tcMar>
          </w:tcPr>
          <w:p>
            <w:r>
              <w:rPr>
                <w:sz w:val="18"/>
                <w:szCs w:val="18"/>
              </w:rPr>
              <w:t xml:space="preserve">astropy__astropy-13236</w:t>
            </w:r>
          </w:p>
        </w:tc>
        <w:tc>
          <w:tcPr>
            <w:tcW w:type="dxa" w:w="1900"/>
            <w:tcMar>
              <w:top w:type="dxa" w:w="40"/>
              <w:left w:type="dxa" w:w="80"/>
              <w:bottom w:type="dxa" w:w="40"/>
              <w:right w:type="dxa" w:w="80"/>
            </w:tcMar>
          </w:tcPr>
          <w:p>
            <w:r>
              <w:rPr>
                <w:sz w:val="18"/>
                <w:szCs w:val="18"/>
              </w:rPr>
              <w:t xml:space="preserve">astropy/astropy</w:t>
            </w:r>
          </w:p>
        </w:tc>
        <w:tc>
          <w:tcPr>
            <w:tcW w:type="dxa" w:w="2200"/>
            <w:tcMar>
              <w:top w:type="dxa" w:w="40"/>
              <w:left w:type="dxa" w:w="80"/>
              <w:bottom w:type="dxa" w:w="40"/>
              <w:right w:type="dxa" w:w="80"/>
            </w:tcMar>
          </w:tcPr>
          <w:p>
            <w:r>
              <w:rPr>
                <w:sz w:val="18"/>
                <w:szCs w:val="18"/>
              </w:rPr>
              <w:t xml:space="preserve">branch removal</w:t>
            </w:r>
          </w:p>
        </w:tc>
        <w:tc>
          <w:tcPr>
            <w:tcW w:type="dxa" w:w="1800"/>
            <w:tcMar>
              <w:top w:type="dxa" w:w="40"/>
              <w:left w:type="dxa" w:w="80"/>
              <w:bottom w:type="dxa" w:w="40"/>
              <w:right w:type="dxa" w:w="80"/>
            </w:tcMar>
          </w:tcPr>
          <w:p>
            <w:r>
              <w:rPr>
                <w:color w:val="1a7f37"/>
                <w:sz w:val="18"/>
                <w:szCs w:val="18"/>
              </w:rPr>
              <w:t xml:space="preserve">RESOLVED</w:t>
            </w:r>
          </w:p>
        </w:tc>
      </w:tr>
      <w:tr>
        <w:tc>
          <w:tcPr>
            <w:tcW w:type="dxa" w:w="2600"/>
            <w:tcMar>
              <w:top w:type="dxa" w:w="40"/>
              <w:left w:type="dxa" w:w="80"/>
              <w:bottom w:type="dxa" w:w="40"/>
              <w:right w:type="dxa" w:w="80"/>
            </w:tcMar>
          </w:tcPr>
          <w:p>
            <w:r>
              <w:rPr>
                <w:sz w:val="18"/>
                <w:szCs w:val="18"/>
              </w:rPr>
              <w:t xml:space="preserve">astropy__astropy-14309</w:t>
            </w:r>
          </w:p>
        </w:tc>
        <w:tc>
          <w:tcPr>
            <w:tcW w:type="dxa" w:w="1900"/>
            <w:tcMar>
              <w:top w:type="dxa" w:w="40"/>
              <w:left w:type="dxa" w:w="80"/>
              <w:bottom w:type="dxa" w:w="40"/>
              <w:right w:type="dxa" w:w="80"/>
            </w:tcMar>
          </w:tcPr>
          <w:p>
            <w:r>
              <w:rPr>
                <w:sz w:val="18"/>
                <w:szCs w:val="18"/>
              </w:rPr>
              <w:t xml:space="preserve">astropy/astropy</w:t>
            </w:r>
          </w:p>
        </w:tc>
        <w:tc>
          <w:tcPr>
            <w:tcW w:type="dxa" w:w="2200"/>
            <w:tcMar>
              <w:top w:type="dxa" w:w="40"/>
              <w:left w:type="dxa" w:w="80"/>
              <w:bottom w:type="dxa" w:w="40"/>
              <w:right w:type="dxa" w:w="80"/>
            </w:tcMar>
          </w:tcPr>
          <w:p>
            <w:r>
              <w:rPr>
                <w:sz w:val="18"/>
                <w:szCs w:val="18"/>
              </w:rPr>
              <w:t xml:space="preserve">guard -&gt; return</w:t>
            </w:r>
          </w:p>
        </w:tc>
        <w:tc>
          <w:tcPr>
            <w:tcW w:type="dxa" w:w="1800"/>
            <w:tcMar>
              <w:top w:type="dxa" w:w="40"/>
              <w:left w:type="dxa" w:w="80"/>
              <w:bottom w:type="dxa" w:w="40"/>
              <w:right w:type="dxa" w:w="80"/>
            </w:tcMar>
          </w:tcPr>
          <w:p>
            <w:r>
              <w:rPr>
                <w:color w:val="1a7f37"/>
                <w:sz w:val="18"/>
                <w:szCs w:val="18"/>
              </w:rPr>
              <w:t xml:space="preserve">RESOLVED</w:t>
            </w:r>
          </w:p>
        </w:tc>
      </w:tr>
      <w:tr>
        <w:tc>
          <w:tcPr>
            <w:tcW w:type="dxa" w:w="2600"/>
            <w:tcMar>
              <w:top w:type="dxa" w:w="40"/>
              <w:left w:type="dxa" w:w="80"/>
              <w:bottom w:type="dxa" w:w="40"/>
              <w:right w:type="dxa" w:w="80"/>
            </w:tcMar>
          </w:tcPr>
          <w:p>
            <w:r>
              <w:rPr>
                <w:sz w:val="18"/>
                <w:szCs w:val="18"/>
              </w:rPr>
              <w:t xml:space="preserve">astropy__astropy-14539</w:t>
            </w:r>
          </w:p>
        </w:tc>
        <w:tc>
          <w:tcPr>
            <w:tcW w:type="dxa" w:w="1900"/>
            <w:tcMar>
              <w:top w:type="dxa" w:w="40"/>
              <w:left w:type="dxa" w:w="80"/>
              <w:bottom w:type="dxa" w:w="40"/>
              <w:right w:type="dxa" w:w="80"/>
            </w:tcMar>
          </w:tcPr>
          <w:p>
            <w:r>
              <w:rPr>
                <w:sz w:val="18"/>
                <w:szCs w:val="18"/>
              </w:rPr>
              <w:t xml:space="preserve">astropy/astropy</w:t>
            </w:r>
          </w:p>
        </w:tc>
        <w:tc>
          <w:tcPr>
            <w:tcW w:type="dxa" w:w="2200"/>
            <w:tcMar>
              <w:top w:type="dxa" w:w="40"/>
              <w:left w:type="dxa" w:w="80"/>
              <w:bottom w:type="dxa" w:w="40"/>
              <w:right w:type="dxa" w:w="80"/>
            </w:tcMar>
          </w:tcPr>
          <w:p>
            <w:r>
              <w:rPr>
                <w:sz w:val="18"/>
                <w:szCs w:val="18"/>
              </w:rPr>
              <w:t xml:space="preserve">clause insertion</w:t>
            </w:r>
          </w:p>
        </w:tc>
        <w:tc>
          <w:tcPr>
            <w:tcW w:type="dxa" w:w="1800"/>
            <w:tcMar>
              <w:top w:type="dxa" w:w="40"/>
              <w:left w:type="dxa" w:w="80"/>
              <w:bottom w:type="dxa" w:w="40"/>
              <w:right w:type="dxa" w:w="80"/>
            </w:tcMar>
          </w:tcPr>
          <w:p>
            <w:r>
              <w:rPr>
                <w:color w:val="1a7f37"/>
                <w:sz w:val="18"/>
                <w:szCs w:val="18"/>
              </w:rPr>
              <w:t xml:space="preserve">RESOLVED</w:t>
            </w:r>
          </w:p>
        </w:tc>
      </w:tr>
      <w:tr>
        <w:tc>
          <w:tcPr>
            <w:tcW w:type="dxa" w:w="2600"/>
            <w:tcMar>
              <w:top w:type="dxa" w:w="40"/>
              <w:left w:type="dxa" w:w="80"/>
              <w:bottom w:type="dxa" w:w="40"/>
              <w:right w:type="dxa" w:w="80"/>
            </w:tcMar>
          </w:tcPr>
          <w:p>
            <w:r>
              <w:rPr>
                <w:sz w:val="18"/>
                <w:szCs w:val="18"/>
              </w:rPr>
              <w:t xml:space="preserve">django__django-14559</w:t>
            </w:r>
          </w:p>
        </w:tc>
        <w:tc>
          <w:tcPr>
            <w:tcW w:type="dxa" w:w="1900"/>
            <w:tcMar>
              <w:top w:type="dxa" w:w="40"/>
              <w:left w:type="dxa" w:w="80"/>
              <w:bottom w:type="dxa" w:w="40"/>
              <w:right w:type="dxa" w:w="80"/>
            </w:tcMar>
          </w:tcPr>
          <w:p>
            <w:r>
              <w:rPr>
                <w:sz w:val="18"/>
                <w:szCs w:val="18"/>
              </w:rPr>
              <w:t xml:space="preserve">django/django</w:t>
            </w:r>
          </w:p>
        </w:tc>
        <w:tc>
          <w:tcPr>
            <w:tcW w:type="dxa" w:w="2200"/>
            <w:tcMar>
              <w:top w:type="dxa" w:w="40"/>
              <w:left w:type="dxa" w:w="80"/>
              <w:bottom w:type="dxa" w:w="40"/>
              <w:right w:type="dxa" w:w="80"/>
            </w:tcMar>
          </w:tcPr>
          <w:p>
            <w:r>
              <w:rPr>
                <w:sz w:val="18"/>
                <w:szCs w:val="18"/>
              </w:rPr>
              <w:t xml:space="preserve">guard -&gt; return</w:t>
            </w:r>
          </w:p>
        </w:tc>
        <w:tc>
          <w:tcPr>
            <w:tcW w:type="dxa" w:w="1800"/>
            <w:tcMar>
              <w:top w:type="dxa" w:w="40"/>
              <w:left w:type="dxa" w:w="80"/>
              <w:bottom w:type="dxa" w:w="40"/>
              <w:right w:type="dxa" w:w="80"/>
            </w:tcMar>
          </w:tcPr>
          <w:p>
            <w:r>
              <w:rPr>
                <w:color w:val="1a7f37"/>
                <w:sz w:val="18"/>
                <w:szCs w:val="18"/>
              </w:rPr>
              <w:t xml:space="preserve">RESOLVED</w:t>
            </w:r>
          </w:p>
        </w:tc>
      </w:tr>
    </w:tbl>
    <w:p>
      <w:pPr>
        <w:spacing w:after="120"/>
      </w:pPr>
      <w:r>
        <w:t xml:space="preserve">Harness result: 5 submitted, </w:t>
      </w:r>
      <w:r>
        <w:rPr>
          <w:b/>
          <w:bCs/>
          <w:color w:val="1a7f37"/>
        </w:rPr>
        <w:t xml:space="preserve">5 resolved, 0 unresolved, 0 errors.</w:t>
      </w:r>
    </w:p>
    <w:p>
      <w:pPr>
        <w:spacing w:after="120"/>
      </w:pPr>
      <w:r>
        <w:t xml:space="preserve">Produced by the maintainers' own code (the </w:t>
      </w:r>
      <w:r>
        <w:rPr>
          <w:rFonts w:ascii="Consolas" w:cs="Consolas" w:eastAsia="Consolas" w:hAnsi="Consolas"/>
          <w:sz w:val="18"/>
          <w:szCs w:val="18"/>
        </w:rPr>
        <w:t xml:space="preserve">swebench</w:t>
      </w:r>
      <w:r>
        <w:t xml:space="preserve"> package), not by Aethelgard — therefore independent of Aethelgard's internal verifier.</w:t>
      </w:r>
    </w:p>
    <w:p>
      <w:pPr>
        <w:pStyle w:val="Heading2"/>
        <w:spacing w:after="120" w:before="240"/>
      </w:pPr>
      <w:r>
        <w:rPr>
          <w:color w:val="222222"/>
        </w:rPr>
        <w:t xml:space="preserve">1a. Patch Provenance</w:t>
      </w:r>
    </w:p>
    <w:p>
      <w:pPr>
        <w:spacing w:after="120"/>
      </w:pPr>
      <w:r>
        <w:t xml:space="preserve">The harness verifies that the submitted patches resolve their instances; it does not by itself establish who generated them. Provenance for each patch:</w:t>
      </w:r>
    </w:p>
    <w:p>
      <w:pPr>
        <w:pStyle w:val="ListParagraph"/>
        <w:numPr>
          <w:ilvl w:val="0"/>
          <w:numId w:val="2"/>
        </w:numPr>
        <w:spacing w:after="60"/>
      </w:pPr>
      <w:r>
        <w:t xml:space="preserve">Each patch was produced by an Aethelgard run and written to a prediction file (predictions_&lt;id&gt;_*.jsonl) at run time. Source files: 12907 -&gt; ..._20260826_115645; 13236 -&gt; ..._20260824_144947; 14309 -&gt; ..._20260918_100206; 14539 -&gt; ..._20260824_153515; 14559 -&gt; ..._20260918_085225.</w:t>
      </w:r>
    </w:p>
    <w:p>
      <w:pPr>
        <w:pStyle w:val="ListParagraph"/>
        <w:numPr>
          <w:ilvl w:val="0"/>
          <w:numId w:val="2"/>
        </w:numPr>
        <w:spacing w:after="60"/>
      </w:pPr>
      <w:r>
        <w:t xml:space="preserve">The mechanism column above is itself provenance: each patch's shape matches a specific rule in Aethelgard's deterministic edit grammar (name substitution, branch removal, guard-&gt;return, clause insertion) — the form a grammar-generated patch takes, not an arbitrary hand-written fix.</w:t>
      </w:r>
    </w:p>
    <w:p>
      <w:pPr>
        <w:pStyle w:val="ListParagraph"/>
        <w:numPr>
          <w:ilvl w:val="0"/>
          <w:numId w:val="2"/>
        </w:numPr>
        <w:spacing w:after="60"/>
      </w:pPr>
      <w:r>
        <w:t xml:space="preserve">The corresponding Aethelgard run logs (log_&lt;id&gt;_*.txt) and the six-surface contamination audit trail are retained and available.</w:t>
      </w:r>
    </w:p>
    <w:p>
      <w:pPr>
        <w:spacing w:after="120"/>
      </w:pPr>
      <w:r>
        <w:rPr>
          <w:b/>
          <w:bCs/>
        </w:rPr>
        <w:t xml:space="preserve">Provenance note: </w:t>
      </w:r>
      <w:r>
        <w:t xml:space="preserve">run logs are the author's own records; they evidence that Aethelgard's pipeline produced the patches, but are not independent third-party attestation. The independent element is the harness verdict on the patches' correctness.</w:t>
      </w:r>
    </w:p>
    <w:p>
      <w:pPr>
        <w:pStyle w:val="Heading1"/>
        <w:spacing w:after="120" w:before="240"/>
      </w:pPr>
      <w:r>
        <w:rPr>
          <w:color w:val="0E7C7B"/>
        </w:rPr>
        <w:t xml:space="preserve">2. Scope of This Result</w:t>
      </w:r>
    </w:p>
    <w:p>
      <w:pPr>
        <w:spacing w:after="120"/>
      </w:pPr>
      <w:r>
        <w:t xml:space="preserve">These five instances were part of Aethelgard's development set (in-sample). What that means for reading the result:</w:t>
      </w:r>
    </w:p>
    <w:p>
      <w:pPr>
        <w:pStyle w:val="ListParagraph"/>
        <w:numPr>
          <w:ilvl w:val="0"/>
          <w:numId w:val="2"/>
        </w:numPr>
        <w:spacing w:after="60"/>
      </w:pPr>
      <w:r>
        <w:t xml:space="preserve">Their independent harness confirmation validates that the patches are genuinely correct — it closes the gap between Aethelgard's own "VERIFIED" and an independent judge agreeing.</w:t>
      </w:r>
    </w:p>
    <w:p>
      <w:pPr>
        <w:pStyle w:val="ListParagraph"/>
        <w:numPr>
          <w:ilvl w:val="0"/>
          <w:numId w:val="2"/>
        </w:numPr>
        <w:spacing w:after="60"/>
      </w:pPr>
      <w:r>
        <w:t xml:space="preserve">It is a confirmation of patch correctness, not yet a measure of performance on unseen bugs.</w:t>
      </w:r>
    </w:p>
    <w:p>
      <w:pPr>
        <w:spacing w:after="120"/>
      </w:pPr>
      <w:r>
        <w:rPr>
          <w:b/>
          <w:bCs/>
        </w:rPr>
        <w:t xml:space="preserve">Note — work in progress: </w:t>
      </w:r>
      <w:r>
        <w:t xml:space="preserve">testing on unseen instances is underway (PROTOCOL_BENCH_2, described in Section 6). When that run is complete and its patches are independently confirmed by the same harness, those results will be published as the measure of generalization. This record covers only what is confirmed today; the unseen-bug results will be added when proven.</w:t>
      </w:r>
    </w:p>
    <w:p>
      <w:pPr>
        <w:pStyle w:val="Heading1"/>
        <w:spacing w:after="120" w:before="240"/>
      </w:pPr>
      <w:r>
        <w:rPr>
          <w:color w:val="0E7C7B"/>
        </w:rPr>
        <w:t xml:space="preserve">3. How to Reproduce the Verification</w:t>
      </w:r>
    </w:p>
    <w:p>
      <w:pPr>
        <w:spacing w:after="120"/>
      </w:pPr>
      <w:r>
        <w:t xml:space="preserve">Requires Docker and Python 3.10+ on Linux/WSL2 (the harness imports the Unix-only 'resource' module and uses 'X | None' syntax; it does not run on Windows Python or Python 3.9).</w:t>
      </w:r>
    </w:p>
    <w:p>
      <w:pPr>
        <w:spacing w:after="120"/>
      </w:pPr>
      <w:r>
        <w:rPr>
          <w:b/>
          <w:bCs/>
        </w:rPr>
        <w:t xml:space="preserve">Step 1 — environment:</w:t>
      </w:r>
    </w:p>
    <w:p>
      <w:pPr>
        <w:shd w:fill="F2F4F5" w:val="clear"/>
        <w:spacing w:after="40"/>
      </w:pPr>
      <w:r>
        <w:rPr>
          <w:rFonts w:ascii="Consolas" w:cs="Consolas" w:eastAsia="Consolas" w:hAnsi="Consolas"/>
          <w:sz w:val="18"/>
          <w:szCs w:val="18"/>
        </w:rPr>
        <w:t xml:space="preserve">python3.14 -m venv swebench-venv</w:t>
      </w:r>
    </w:p>
    <w:p>
      <w:pPr>
        <w:shd w:fill="F2F4F5" w:val="clear"/>
        <w:spacing w:after="40"/>
      </w:pPr>
      <w:r>
        <w:rPr>
          <w:rFonts w:ascii="Consolas" w:cs="Consolas" w:eastAsia="Consolas" w:hAnsi="Consolas"/>
          <w:sz w:val="18"/>
          <w:szCs w:val="18"/>
        </w:rPr>
        <w:t xml:space="preserve">source swebench-venv/bin/activate</w:t>
      </w:r>
    </w:p>
    <w:p>
      <w:pPr>
        <w:shd w:fill="F2F4F5" w:val="clear"/>
        <w:spacing w:after="40"/>
      </w:pPr>
      <w:r>
        <w:rPr>
          <w:rFonts w:ascii="Consolas" w:cs="Consolas" w:eastAsia="Consolas" w:hAnsi="Consolas"/>
          <w:sz w:val="18"/>
          <w:szCs w:val="18"/>
        </w:rPr>
        <w:t xml:space="preserve">pip install swebench      # this record used swebench 4.1.0</w:t>
      </w:r>
    </w:p>
    <w:p>
      <w:pPr>
        <w:spacing w:after="120"/>
      </w:pPr>
      <w:r>
        <w:rPr>
          <w:b/>
          <w:bCs/>
        </w:rPr>
        <w:t xml:space="preserve">Step 2 — confirm the harness works, using a GOLD patch (maintainers' known-correct fix):</w:t>
      </w:r>
    </w:p>
    <w:p>
      <w:pPr>
        <w:shd w:fill="F2F4F5" w:val="clear"/>
        <w:spacing w:after="40"/>
      </w:pPr>
      <w:r>
        <w:rPr>
          <w:rFonts w:ascii="Consolas" w:cs="Consolas" w:eastAsia="Consolas" w:hAnsi="Consolas"/>
          <w:sz w:val="18"/>
          <w:szCs w:val="18"/>
        </w:rPr>
        <w:t xml:space="preserve">python -m swebench.harness.run_evaluation \</w:t>
      </w:r>
    </w:p>
    <w:p>
      <w:pPr>
        <w:shd w:fill="F2F4F5" w:val="clear"/>
        <w:spacing w:after="40"/>
      </w:pPr>
      <w:r>
        <w:rPr>
          <w:rFonts w:ascii="Consolas" w:cs="Consolas" w:eastAsia="Consolas" w:hAnsi="Consolas"/>
          <w:sz w:val="18"/>
          <w:szCs w:val="18"/>
        </w:rPr>
        <w:t xml:space="preserve">  --dataset_name princeton-nlp/SWE-bench_Verified \</w:t>
      </w:r>
    </w:p>
    <w:p>
      <w:pPr>
        <w:shd w:fill="F2F4F5" w:val="clear"/>
        <w:spacing w:after="40"/>
      </w:pPr>
      <w:r>
        <w:rPr>
          <w:rFonts w:ascii="Consolas" w:cs="Consolas" w:eastAsia="Consolas" w:hAnsi="Consolas"/>
          <w:sz w:val="18"/>
          <w:szCs w:val="18"/>
        </w:rPr>
        <w:t xml:space="preserve">  --predictions_path gold --instance_ids astropy__astropy-14309 \</w:t>
      </w:r>
    </w:p>
    <w:p>
      <w:pPr>
        <w:shd w:fill="F2F4F5" w:val="clear"/>
        <w:spacing w:after="40"/>
      </w:pPr>
      <w:r>
        <w:rPr>
          <w:rFonts w:ascii="Consolas" w:cs="Consolas" w:eastAsia="Consolas" w:hAnsi="Consolas"/>
          <w:sz w:val="18"/>
          <w:szCs w:val="18"/>
        </w:rPr>
        <w:t xml:space="preserve">  --run_id gold_check --max_workers 1     # expect: 1 resolved</w:t>
      </w:r>
    </w:p>
    <w:p>
      <w:pPr>
        <w:spacing w:after="120"/>
      </w:pPr>
      <w:r>
        <w:rPr>
          <w:b/>
          <w:bCs/>
        </w:rPr>
        <w:t xml:space="preserve">Step 3 — verify Aethelgard's patches:</w:t>
      </w:r>
    </w:p>
    <w:p>
      <w:pPr>
        <w:shd w:fill="F2F4F5" w:val="clear"/>
        <w:spacing w:after="40"/>
      </w:pPr>
      <w:r>
        <w:rPr>
          <w:rFonts w:ascii="Consolas" w:cs="Consolas" w:eastAsia="Consolas" w:hAnsi="Consolas"/>
          <w:sz w:val="18"/>
          <w:szCs w:val="18"/>
        </w:rPr>
        <w:t xml:space="preserve">python -m swebench.harness.run_evaluation \</w:t>
      </w:r>
    </w:p>
    <w:p>
      <w:pPr>
        <w:shd w:fill="F2F4F5" w:val="clear"/>
        <w:spacing w:after="40"/>
      </w:pPr>
      <w:r>
        <w:rPr>
          <w:rFonts w:ascii="Consolas" w:cs="Consolas" w:eastAsia="Consolas" w:hAnsi="Consolas"/>
          <w:sz w:val="18"/>
          <w:szCs w:val="18"/>
        </w:rPr>
        <w:t xml:space="preserve">  --dataset_name princeton-nlp/SWE-bench_Verified \</w:t>
      </w:r>
    </w:p>
    <w:p>
      <w:pPr>
        <w:shd w:fill="F2F4F5" w:val="clear"/>
        <w:spacing w:after="40"/>
      </w:pPr>
      <w:r>
        <w:rPr>
          <w:rFonts w:ascii="Consolas" w:cs="Consolas" w:eastAsia="Consolas" w:hAnsi="Consolas"/>
          <w:sz w:val="18"/>
          <w:szCs w:val="18"/>
        </w:rPr>
        <w:t xml:space="preserve">  --predictions_path aethelgard_5_predictions.jsonl \</w:t>
      </w:r>
    </w:p>
    <w:p>
      <w:pPr>
        <w:shd w:fill="F2F4F5" w:val="clear"/>
        <w:spacing w:after="40"/>
      </w:pPr>
      <w:r>
        <w:rPr>
          <w:rFonts w:ascii="Consolas" w:cs="Consolas" w:eastAsia="Consolas" w:hAnsi="Consolas"/>
          <w:sz w:val="18"/>
          <w:szCs w:val="18"/>
        </w:rPr>
        <w:t xml:space="preserve">  --run_id aethelgard_5_verify --max_workers 4</w:t>
      </w:r>
    </w:p>
    <w:p>
      <w:pPr>
        <w:spacing w:after="120"/>
      </w:pPr>
      <w:r>
        <w:rPr>
          <w:b/>
          <w:bCs/>
        </w:rPr>
        <w:t xml:space="preserve">Environment of record (for exact reproduction):</w:t>
      </w:r>
    </w:p>
    <w:p>
      <w:pPr>
        <w:pStyle w:val="ListParagraph"/>
        <w:numPr>
          <w:ilvl w:val="0"/>
          <w:numId w:val="2"/>
        </w:numPr>
        <w:spacing w:after="60"/>
      </w:pPr>
      <w:r>
        <w:t xml:space="preserve">swebench package 4.1.0; report schema_version 2; evaluation in Docker.</w:t>
      </w:r>
    </w:p>
    <w:p>
      <w:pPr>
        <w:pStyle w:val="ListParagraph"/>
        <w:numPr>
          <w:ilvl w:val="0"/>
          <w:numId w:val="2"/>
        </w:numPr>
        <w:spacing w:after="60"/>
      </w:pPr>
      <w:r>
        <w:t xml:space="preserve">dataset princeton-nlp/SWE-bench_Verified, revision c104f840cc67f8b6eec6f759ebc8b2693d585d4a.</w:t>
      </w:r>
    </w:p>
    <w:p>
      <w:pPr>
        <w:pStyle w:val="ListParagraph"/>
        <w:numPr>
          <w:ilvl w:val="0"/>
          <w:numId w:val="2"/>
        </w:numPr>
        <w:spacing w:after="60"/>
      </w:pPr>
      <w:r>
        <w:t xml:space="preserve">aethelgard_5_predictions.jsonl SHA-256: 5f3af0be78bbfacc8b6898cf3be38d6e5ce1f8e0f33fb38ce400f4a447918359</w:t>
      </w:r>
    </w:p>
    <w:p>
      <w:pPr>
        <w:pStyle w:val="ListParagraph"/>
        <w:numPr>
          <w:ilvl w:val="0"/>
          <w:numId w:val="2"/>
        </w:numPr>
        <w:spacing w:after="60"/>
      </w:pPr>
      <w:r>
        <w:t xml:space="preserve">HARNESS_CONFIRMED_5_20260920.json SHA-256: 624162a0437c5d54009fff8e8ae4bfc83862ab7f72944233d45d1aad6558f646</w:t>
      </w:r>
    </w:p>
    <w:p>
      <w:pPr>
        <w:pStyle w:val="ListParagraph"/>
        <w:numPr>
          <w:ilvl w:val="0"/>
          <w:numId w:val="2"/>
        </w:numPr>
        <w:spacing w:after="60"/>
      </w:pPr>
      <w:r>
        <w:t xml:space="preserve">resolved_ids: astropy-12907, 13236, 14309, 14539, django-14559 (5 of 5).</w:t>
      </w:r>
    </w:p>
    <w:p>
      <w:pPr>
        <w:spacing w:after="120"/>
      </w:pPr>
      <w:r>
        <w:rPr>
          <w:b/>
          <w:bCs/>
        </w:rPr>
        <w:t xml:space="preserve">Accompanying artifacts:</w:t>
      </w:r>
    </w:p>
    <w:p>
      <w:pPr>
        <w:pStyle w:val="ListParagraph"/>
        <w:numPr>
          <w:ilvl w:val="0"/>
          <w:numId w:val="2"/>
        </w:numPr>
        <w:spacing w:after="60"/>
      </w:pPr>
      <w:r>
        <w:t xml:space="preserve">aethelgard_5_predictions.jsonl — the five patches (instance_id, model_name_or_path, model_patch).</w:t>
      </w:r>
    </w:p>
    <w:p>
      <w:pPr>
        <w:pStyle w:val="ListParagraph"/>
        <w:numPr>
          <w:ilvl w:val="0"/>
          <w:numId w:val="2"/>
        </w:numPr>
        <w:spacing w:after="60"/>
      </w:pPr>
      <w:r>
        <w:t xml:space="preserve">HARNESS_CONFIRMED_5_20260920.json — the harness report (resolved_ids lists all five).</w:t>
      </w:r>
    </w:p>
    <w:p>
      <w:pPr>
        <w:pStyle w:val="ListParagraph"/>
        <w:numPr>
          <w:ilvl w:val="0"/>
          <w:numId w:val="2"/>
        </w:numPr>
        <w:spacing w:after="60"/>
      </w:pPr>
      <w:r>
        <w:t xml:space="preserve">gold.gold_check.json — the gold-patch check proving the harness works.</w:t>
      </w:r>
    </w:p>
    <w:p>
      <w:pPr>
        <w:pStyle w:val="Heading1"/>
        <w:spacing w:after="120" w:before="240"/>
      </w:pPr>
      <w:r>
        <w:rPr>
          <w:color w:val="0E7C7B"/>
        </w:rPr>
        <w:t xml:space="preserve">4. Prior Four Astropy Results, Now Confirmed</w:t>
      </w:r>
    </w:p>
    <w:p>
      <w:pPr>
        <w:spacing w:after="120"/>
      </w:pPr>
      <w:r>
        <w:t xml:space="preserve">Before this verification, four astropy instances were reported as GOLD-MATCH by Aethelgard's own verifier, and django-14559 as RESOLVED (PASSES BUT DIFFERS) — none independently harness-confirmed.</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300"/>
      </w:tblGrid>
      <w:tr>
        <w:tc>
          <w:tcPr>
            <w:tcW w:type="dxa" w:w="4200"/>
            <w:shd w:fill="0E7C7B" w:val="clear"/>
            <w:tcMar>
              <w:top w:type="dxa" w:w="40"/>
              <w:left w:type="dxa" w:w="80"/>
              <w:bottom w:type="dxa" w:w="40"/>
              <w:right w:type="dxa" w:w="80"/>
            </w:tcMar>
          </w:tcPr>
          <w:p>
            <w:r>
              <w:rPr>
                <w:b/>
                <w:bCs/>
                <w:color w:val="FFFFFF"/>
                <w:sz w:val="18"/>
                <w:szCs w:val="18"/>
              </w:rPr>
              <w:t xml:space="preserve">Metric</w:t>
            </w:r>
          </w:p>
        </w:tc>
        <w:tc>
          <w:tcPr>
            <w:tcW w:type="dxa" w:w="1300"/>
            <w:shd w:fill="0E7C7B" w:val="clear"/>
            <w:tcMar>
              <w:top w:type="dxa" w:w="40"/>
              <w:left w:type="dxa" w:w="80"/>
              <w:bottom w:type="dxa" w:w="40"/>
              <w:right w:type="dxa" w:w="80"/>
            </w:tcMar>
          </w:tcPr>
          <w:p>
            <w:r>
              <w:rPr>
                <w:b/>
                <w:bCs/>
                <w:color w:val="FFFFFF"/>
                <w:sz w:val="18"/>
                <w:szCs w:val="18"/>
              </w:rPr>
              <w:t xml:space="preserve">Before</w:t>
            </w:r>
          </w:p>
        </w:tc>
        <w:tc>
          <w:tcPr>
            <w:tcW w:type="dxa" w:w="1300"/>
            <w:shd w:fill="0E7C7B" w:val="clear"/>
            <w:tcMar>
              <w:top w:type="dxa" w:w="40"/>
              <w:left w:type="dxa" w:w="80"/>
              <w:bottom w:type="dxa" w:w="40"/>
              <w:right w:type="dxa" w:w="80"/>
            </w:tcMar>
          </w:tcPr>
          <w:p>
            <w:r>
              <w:rPr>
                <w:b/>
                <w:bCs/>
                <w:color w:val="FFFFFF"/>
                <w:sz w:val="18"/>
                <w:szCs w:val="18"/>
              </w:rPr>
              <w:t xml:space="preserve">After</w:t>
            </w:r>
          </w:p>
        </w:tc>
      </w:tr>
      <w:tr>
        <w:tc>
          <w:tcPr>
            <w:tcW w:type="dxa" w:w="4200"/>
            <w:tcMar>
              <w:top w:type="dxa" w:w="40"/>
              <w:left w:type="dxa" w:w="80"/>
              <w:bottom w:type="dxa" w:w="40"/>
              <w:right w:type="dxa" w:w="80"/>
            </w:tcMar>
          </w:tcPr>
          <w:p>
            <w:r>
              <w:rPr>
                <w:sz w:val="18"/>
                <w:szCs w:val="18"/>
              </w:rPr>
              <w:t xml:space="preserve">Independently harness-confirmed (Aethelgard's patches)</w:t>
            </w:r>
          </w:p>
        </w:tc>
        <w:tc>
          <w:tcPr>
            <w:tcW w:type="dxa" w:w="1300"/>
            <w:tcMar>
              <w:top w:type="dxa" w:w="40"/>
              <w:left w:type="dxa" w:w="80"/>
              <w:bottom w:type="dxa" w:w="40"/>
              <w:right w:type="dxa" w:w="80"/>
            </w:tcMar>
          </w:tcPr>
          <w:p>
            <w:r>
              <w:rPr>
                <w:sz w:val="18"/>
                <w:szCs w:val="18"/>
              </w:rPr>
              <w:t xml:space="preserve">0</w:t>
            </w:r>
          </w:p>
        </w:tc>
        <w:tc>
          <w:tcPr>
            <w:tcW w:type="dxa" w:w="1300"/>
            <w:tcMar>
              <w:top w:type="dxa" w:w="40"/>
              <w:left w:type="dxa" w:w="80"/>
              <w:bottom w:type="dxa" w:w="40"/>
              <w:right w:type="dxa" w:w="80"/>
            </w:tcMar>
          </w:tcPr>
          <w:p>
            <w:r>
              <w:rPr>
                <w:sz w:val="18"/>
                <w:szCs w:val="18"/>
              </w:rPr>
              <w:t xml:space="preserve">5</w:t>
            </w:r>
          </w:p>
        </w:tc>
      </w:tr>
    </w:tbl>
    <w:p>
      <w:pPr>
        <w:spacing w:after="120"/>
      </w:pPr>
      <w:r>
        <w:rPr>
          <w:b/>
          <w:bCs/>
        </w:rPr>
        <w:t xml:space="preserve">Aethelgard VERIFIED</w:t>
      </w:r>
      <w:r>
        <w:t xml:space="preserve"> = the system's own check. </w:t>
      </w:r>
      <w:r>
        <w:rPr>
          <w:b/>
          <w:bCs/>
        </w:rPr>
        <w:t xml:space="preserve">swebench.harness resolved</w:t>
      </w:r>
      <w:r>
        <w:t xml:space="preserve"> = the independent judge. Only the latter is officially RESOLVED.</w:t>
      </w:r>
    </w:p>
    <w:p>
      <w:pPr>
        <w:pStyle w:val="Heading1"/>
        <w:spacing w:after="120" w:before="240"/>
      </w:pPr>
      <w:r>
        <w:rPr>
          <w:color w:val="0E7C7B"/>
        </w:rPr>
        <w:t xml:space="preserve">5. What Is NOT Yet Established</w:t>
      </w:r>
    </w:p>
    <w:p>
      <w:pPr>
        <w:pStyle w:val="ListParagraph"/>
        <w:numPr>
          <w:ilvl w:val="0"/>
          <w:numId w:val="3"/>
        </w:numPr>
        <w:spacing w:after="60"/>
      </w:pPr>
      <w:r>
        <w:t xml:space="preserve">Unseen-bug benchmark — in progress, not yet published. The five confirmed instances are in-sample. A run on unseen instances (PROTOCOL_BENCH_2) is being prepared; its harness-confirmed results will be published when complete.</w:t>
      </w:r>
    </w:p>
    <w:p>
      <w:pPr>
        <w:pStyle w:val="ListParagraph"/>
        <w:numPr>
          <w:ilvl w:val="0"/>
          <w:numId w:val="3"/>
        </w:numPr>
        <w:spacing w:after="60"/>
      </w:pPr>
      <w:r>
        <w:t xml:space="preserve">Recursive self-improvement — a core project objective, in progress. Bounded, gated recursive self-improvement is the central aim of Aethelgard. The self-learning mechanism has been demonstrated on a controlled instance; extending and proving it on real instances is ongoing, and those results will be published when independently confirmed. This record covers the harness-confirmed patch results (Section 1); the recursive self-improvement results will be added as they are proven.</w:t>
      </w:r>
    </w:p>
    <w:p>
      <w:pPr>
        <w:pStyle w:val="ListParagraph"/>
        <w:numPr>
          <w:ilvl w:val="0"/>
          <w:numId w:val="3"/>
        </w:numPr>
        <w:spacing w:after="60"/>
      </w:pPr>
      <w:r>
        <w:t xml:space="preserve">No independent third-party reproduction. The harness confirms the patches on the author's machine; the artifacts make third-party reproduction possible but it has not yet been done.</w:t>
      </w:r>
    </w:p>
    <w:p>
      <w:pPr>
        <w:pStyle w:val="Heading1"/>
        <w:spacing w:after="120" w:before="240"/>
      </w:pPr>
      <w:r>
        <w:rPr>
          <w:color w:val="0E7C7B"/>
        </w:rPr>
        <w:t xml:space="preserve">6. Benchmark Protocol Status (Context)</w:t>
      </w:r>
    </w:p>
    <w:p>
      <w:pPr>
        <w:spacing w:after="120"/>
      </w:pPr>
      <w:r>
        <w:t xml:space="preserve">A frozen protocol (PROTOCOL_BENCH_2) exists for a future unseen-instance run:</w:t>
      </w:r>
    </w:p>
    <w:p>
      <w:pPr>
        <w:pStyle w:val="ListParagraph"/>
        <w:numPr>
          <w:ilvl w:val="0"/>
          <w:numId w:val="2"/>
        </w:numPr>
        <w:spacing w:after="60"/>
      </w:pPr>
      <w:r>
        <w:t xml:space="preserve">15 instances (9 django + 6 astropy). Of these, 13 are held unseen — mechanically selected from an evidence-grounded clean pool, six-surface contamination-audited before freezing.</w:t>
      </w:r>
    </w:p>
    <w:p>
      <w:pPr>
        <w:pStyle w:val="ListParagraph"/>
        <w:numPr>
          <w:ilvl w:val="0"/>
          <w:numId w:val="2"/>
        </w:numPr>
        <w:spacing w:after="60"/>
      </w:pPr>
      <w:r>
        <w:t xml:space="preserve">The remaining 2 (django-13512, django-13809) were exposed during pipeline fix-development and are NOT unseen. Results will report these two separately from the 13 unseen, subject to the contamination audit — never blended into the unseen count.</w:t>
      </w:r>
    </w:p>
    <w:p>
      <w:pPr>
        <w:pStyle w:val="ListParagraph"/>
        <w:numPr>
          <w:ilvl w:val="0"/>
          <w:numId w:val="2"/>
        </w:numPr>
        <w:spacing w:after="60"/>
      </w:pPr>
      <w:r>
        <w:t xml:space="preserve">The pipeline was corrected and regression-tested (8 suites green) after defects and a stale-base regression were found and fixed; deployed component hashes are recorded in the freeze block.</w:t>
      </w:r>
    </w:p>
    <w:p>
      <w:pPr>
        <w:spacing w:after="120"/>
      </w:pPr>
      <w:r>
        <w:rPr>
          <w:b/>
          <w:bCs/>
        </w:rPr>
        <w:t xml:space="preserve">This run has not yet been executed.</w:t>
      </w:r>
      <w:r>
        <w:t xml:space="preserve"> When it is, its predictions will be verified through the identical harness process, and the headline figure will be stated as "N of 13 unseen (harness-confirmed)", with the 2 development-exposed instances disclosed separately.</w:t>
      </w:r>
    </w:p>
    <w:p>
      <w:pPr>
        <w:pStyle w:val="Heading1"/>
        <w:spacing w:after="120" w:before="240"/>
      </w:pPr>
      <w:r>
        <w:rPr>
          <w:color w:val="0E7C7B"/>
        </w:rPr>
        <w:t xml:space="preserve">7. Exact Claims Permitted by This Evidence</w:t>
      </w:r>
    </w:p>
    <w:p>
      <w:pPr>
        <w:spacing w:after="120"/>
      </w:pPr>
      <w:r>
        <w:rPr>
          <w:b/>
          <w:bCs/>
        </w:rPr>
        <w:t xml:space="preserve">May be stated (backed by the artifacts):</w:t>
      </w:r>
    </w:p>
    <w:p>
      <w:pPr>
        <w:pStyle w:val="ListParagraph"/>
        <w:numPr>
          <w:ilvl w:val="0"/>
          <w:numId w:val="2"/>
        </w:numPr>
        <w:spacing w:after="60"/>
      </w:pPr>
      <w:r>
        <w:t xml:space="preserve">"Five Aethelgard-generated patches are independently confirmed by the official SWE-bench harness (swebench 4.1.0): astropy-12907, 13236, 14309, 14539, django-14559."</w:t>
      </w:r>
    </w:p>
    <w:p>
      <w:pPr>
        <w:pStyle w:val="ListParagraph"/>
        <w:numPr>
          <w:ilvl w:val="0"/>
          <w:numId w:val="2"/>
        </w:numPr>
        <w:spacing w:after="60"/>
      </w:pPr>
      <w:r>
        <w:t xml:space="preserve">"The harness verification is reproducible from the published predictions and report."</w:t>
      </w:r>
    </w:p>
    <w:p>
      <w:pPr>
        <w:spacing w:after="120"/>
      </w:pPr>
      <w:r>
        <w:rPr>
          <w:b/>
          <w:bCs/>
        </w:rPr>
        <w:t xml:space="preserve">Scope note to include:</w:t>
      </w:r>
    </w:p>
    <w:p>
      <w:pPr>
        <w:pStyle w:val="ListParagraph"/>
        <w:numPr>
          <w:ilvl w:val="0"/>
          <w:numId w:val="2"/>
        </w:numPr>
        <w:spacing w:after="60"/>
      </w:pPr>
      <w:r>
        <w:t xml:space="preserve">"These five instances are in-sample; this confirms patch correctness. Unseen-bug testing is in progress and will be published when proven."</w:t>
      </w:r>
    </w:p>
    <w:p>
      <w:pPr>
        <w:spacing w:after="120"/>
      </w:pPr>
      <w:r>
        <w:rPr>
          <w:b/>
          <w:bCs/>
        </w:rPr>
        <w:t xml:space="preserve">May NOT be stated:</w:t>
      </w:r>
    </w:p>
    <w:p>
      <w:pPr>
        <w:pStyle w:val="ListParagraph"/>
        <w:numPr>
          <w:ilvl w:val="0"/>
          <w:numId w:val="2"/>
        </w:numPr>
        <w:spacing w:after="60"/>
      </w:pPr>
      <w:r>
        <w:t xml:space="preserve">Any unseen-benchmark score, generalization claim, or "recursive self-improvement" — none is established by this evidence.</w:t>
      </w:r>
    </w:p>
    <w:p>
      <w:pPr>
        <w:pStyle w:val="Heading1"/>
        <w:spacing w:after="120" w:before="240"/>
      </w:pPr>
      <w:r>
        <w:rPr>
          <w:color w:val="0E7C7B"/>
        </w:rPr>
        <w:t xml:space="preserve">8. Integrity Note</w:t>
      </w:r>
    </w:p>
    <w:p>
      <w:pPr>
        <w:spacing w:after="120"/>
      </w:pPr>
      <w:r>
        <w:t xml:space="preserve">The harness report is the maintainers' output, independent of Aethelgard. The predictions file contains the exact patches evaluated. Together they let any reader re-run the evaluation and obtain the same resolved_ids. This record makes no claim that cannot be checked against those two files plus the public swebench package.</w:t>
      </w:r>
    </w:p>
    <w:p>
      <w:pPr>
        <w:spacing w:after="120"/>
      </w:pPr>
      <w:r>
        <w:rPr>
          <w:i/>
          <w:iCs/>
          <w:color w:val="5b6470"/>
        </w:rPr>
        <w:t xml:space="preserve">The five-instance harness confirmation is real and independent. Unseen-bug results are in progress and will be published when independently confirmed.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2026-09-20T18:42:09.302Z</dcterms:created>
  <dcterms:modified xsi:type="dcterms:W3CDTF">2026-09-20T18:42:09.311Z</dcterms:modified>
</cp:coreProperties>
</file>

<file path=docProps/custom.xml><?xml version="1.0" encoding="utf-8"?>
<Properties xmlns="http://schemas.openxmlformats.org/officeDocument/2006/custom-properties" xmlns:vt="http://schemas.openxmlformats.org/officeDocument/2006/docPropsVTypes"/>
</file>