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ESPOSIZIONE DEI FATTI E RIFERIMENTI NORMATIVI</w:t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(allegato all’istanza di mediazione — cantiere ex Hotel Executive, San Paolo d’Argon BG)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2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I. I FATTI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La proprietà e i luoghi.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La parte istante è proprietaria dell’abitazione unifamiliare sita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San Paolo d’Argon (BG), Via Aldo Moro n. 5/A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zona residenziale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annessi giardino, orto e pertinenze esterne (vialetto, cortile, box).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Il cantiere e i soggetti.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In adiacenza alla proprietà è attivo, dal mese di settembre 2025, il cantiere per il recupero dell’ex Hotel Executive (B&amp;B Hotels), eseguito dall’impresa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MCF Costruzioni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direzione dei lavori affidata all’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Ing. Luigi Tomasoni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come da comunicazione dell’Ufficio Tecnico del Comune di San Paolo d’Argon del 22 aprile 2026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Immissioni rumorose e mancato rispetto degli orari.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Sin dall’avvio dei lavori le lavorazioni si svolgono con rumori continui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già dalle ore 7:00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senza reale pausa, e oltre gli orari consentiti in zona residenziale. Risultano in particolare documentati: lavorazioni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sabato 21 marzo 2026 protrattesi fino alle ore 17:30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presenze di operai in alcune domeniche a recinzione chiusa; attività per l’intera giornata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sabato 23 e domenica 24 maggio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Le circostanze sono rilevabili dal carteggio con l’Ufficio Tecnico comunale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Le lavorazioni svolte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fuori dagli orari consentiti e nei giorni festivi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integrano, di per sé, condotta illegittima, a prescindere da una misurazione fonometrica.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Dispersione di polistirolo e polveri; danni alle pertinenze.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In difetto di idonee recinzioni, barriere antipolvere e teli di confinamento adeguati all’altezza della struttura, in data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21–22 aprile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si è verificata una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estesa dispersione di polistirolo, in polvere e granuli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all’interno della proprietà (giardino, orto, cortile, pertinenze, gabbie degli animali), con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intasamento della grata di scolo del box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conseguente rischio di allagamento, oltre alla presenza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macchie d’olio del macchinario sul vialetto privato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La documentazione fotografica è prodotta sub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Per la bonifica è stato acquisito preventivo da impresa specializzata per l’importo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€ 1.000,00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Ulteriori criticità di sicurezza.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Si rappresentano altresì: 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gru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frequentemente orientata e oscillante sopra l’abitazione, anche nelle ore notturne; 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uso della recinzione/cancellata della parte istante come confine di cantiere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il fissaggio di cavi di macchinari al muretto di proprietà; la caduta nel tempo di oggetti e materiali (sbarre, gommapiuma, residui) dai piani superiori; fumi neri dei macchinari riversati nel giardino.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Segnalazioni reiterate e assenza di intervento risolutivo.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La parte istante ha reiteratamente segnalato la situazione all’Ufficio Tecnico comunale a partire dal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 gennaio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come da carteggio sub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in data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30 aprile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ha presentato esposto alla Stazione Carabinieri di Trescore Balneario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Lo stesso Comune ha dato atto di avere «redarguito la direzione dei lavori e ammonito il coordinatore per la sicurezza». Nonostante ciò, né l’impresa né la direzione lavori hanno dato riscontro alle richieste di intervento e di ristoro, e la bonifica non è stata eseguita.</w:t>
      </w:r>
    </w:p>
    <w:p>
      <w:pPr>
        <w:spacing w:after="120" w:before="2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II. ACCENNI NORMATIVI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Immissioni e normale tollerabilità.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Ai sensi dell’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844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le immissioni di rumori, polveri e simili propagazioni provenienti dal fondo del vicino non sono tollerabili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«se superano la normale tollerabilità, avuto anche riguardo alla condizione dei luoghi»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Per consolidato orientamento il limite si accerta con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criterio comparativo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reputandosi intollerabili le immissioni rumorose che eccedano di oltre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 dB(A) il rumore di fondo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della zona (Cass., Sez. Un., n. 4848/2013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[VERIFICA su DeJure/Italgiure]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La condizione residenziale dei luoghi abbassa la soglia di tollerabilità; resta ferma, in ogni caso, l’illiceità delle lavorazioni svolte in violazione degli orari e nei giorni festivi (infra), che prescinde dalla misurazione fonometrica.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Illiceità per violazione di norme pubblicistiche.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Ove le immissioni conseguano alla violazione di norme pubblicistiche (orari di cantiere, limiti acustici), non opera il contemperamento ex art. 844 c.c. e viene in rilievo la sola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illiceità del fatto ex art. 2043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(orientamento prevalente — [VERIFICA estremi])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Tutela e responsabilità.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L’azione reale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844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(cessazione delle immissioni e adozione di accorgimenti tecnici) è cumulabile con l’azione risarcitoria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2043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con il ristoro in forma specifica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2058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Per i danni a terzi da esecuzione dell’appalto risponde di regola l’appaltatore; il committente può concorrere per culpa in eligendo, ingerenza o quale custode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2051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responsabilità solidale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2055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(Cass. n. 12882/2020; n. 7553/2021; n. 26529/2025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[VERIFICA su DeJure/Italgiure]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Danno non patrimoniale.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Le immissioni intollerabili, incidendo sul diritto al riposo e alla vivibilità dell’abitazione (art. 32 Cost.), sono fonte di danno non patrimoniale risarcibile, da provarsi e liquidarsi anche in via equitativa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(orientamento di legittimità — [VERIFICA estremi])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nella specie non viene dedotto danno biologico.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Profilo rifiuti.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La dispersione e l’accumulo del polistirolo, quale rifiuto, rilevano altresì ai sensi degli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artt. 192, 255 e 256 del d.lgs. 152/2006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sul divieto di abbandono e gestione dei rifiuti, profilo segnalato alle Autorità competenti.</w:t>
      </w:r>
    </w:p>
    <w:p>
      <w:pPr>
        <w:spacing w:after="120" w:before="2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III. ALLEGATI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1 — carteggio con l’Ufficio Tecnico del Comune di San Paolo d’Argon (gennaio–maggio 2026), inclusa la comunicazione del 22 aprile 2026;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2 — documentazione fotografica dei danni (polistirolo, grata di scolo intasata, macchie d’olio, gru);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3 — preventivo di bonifica VLP Service (€ 1.000,00);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4 — verbale di ricezione esposto, Stazione Carabinieri di Trescore Balneario, 30 aprile 2026.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Bozza per uso interno — verificare i riferimenti contrassegnati [VERIFICA].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2026-06-09T09:32:29.391Z</dcterms:created>
  <dcterms:modified xsi:type="dcterms:W3CDTF">2026-06-09T09:32:29.391Z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