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A3AC" w14:textId="77777777" w:rsidR="00BE0AD6" w:rsidRDefault="00000000">
      <w:pPr>
        <w:jc w:val="both"/>
      </w:pPr>
      <w:r>
        <w:t>Giudice di Pace di Brescia – Sezione Civile</w:t>
      </w:r>
    </w:p>
    <w:p w14:paraId="2B73C019" w14:textId="77777777" w:rsidR="00BE0AD6" w:rsidRDefault="00000000">
      <w:pPr>
        <w:spacing w:after="360"/>
        <w:jc w:val="both"/>
      </w:pPr>
      <w:r>
        <w:t>R.G. n. 4797/2026 – Giudice designato: dott.ssa Francesca Poma</w:t>
      </w:r>
    </w:p>
    <w:p w14:paraId="129D44EB" w14:textId="77777777" w:rsidR="00BE0AD6" w:rsidRDefault="00000000">
      <w:pPr>
        <w:jc w:val="center"/>
      </w:pPr>
      <w:r>
        <w:rPr>
          <w:b/>
          <w:bCs/>
        </w:rPr>
        <w:t>Istanza di sospensione dell'esecuzione del provvedimento opposto</w:t>
      </w:r>
    </w:p>
    <w:p w14:paraId="3669A9F0" w14:textId="77777777" w:rsidR="00BE0AD6" w:rsidRDefault="00000000">
      <w:pPr>
        <w:jc w:val="center"/>
      </w:pPr>
      <w:r>
        <w:rPr>
          <w:b/>
          <w:bCs/>
        </w:rPr>
        <w:t xml:space="preserve">ex art. 5 </w:t>
      </w:r>
      <w:proofErr w:type="spellStart"/>
      <w:r>
        <w:rPr>
          <w:b/>
          <w:bCs/>
        </w:rPr>
        <w:t>D.Lgs.</w:t>
      </w:r>
      <w:proofErr w:type="spellEnd"/>
      <w:r>
        <w:rPr>
          <w:b/>
          <w:bCs/>
        </w:rPr>
        <w:t xml:space="preserve"> 1° settembre 2011, n. 150</w:t>
      </w:r>
    </w:p>
    <w:p w14:paraId="0EA9295E" w14:textId="77777777" w:rsidR="00BE0AD6" w:rsidRDefault="00000000">
      <w:pPr>
        <w:spacing w:after="360"/>
        <w:jc w:val="center"/>
      </w:pPr>
      <w:r>
        <w:rPr>
          <w:b/>
          <w:bCs/>
        </w:rPr>
        <w:t>con richiesta di decreto fuori udienza e, in subordine, di anticipazione dell'udienza</w:t>
      </w:r>
    </w:p>
    <w:p w14:paraId="0AA4B213" w14:textId="77777777" w:rsidR="00BE0AD6" w:rsidRDefault="00000000">
      <w:pPr>
        <w:spacing w:after="160"/>
        <w:jc w:val="both"/>
      </w:pPr>
      <w:r>
        <w:t xml:space="preserve">Nell'interesse del sig. </w:t>
      </w:r>
      <w:r>
        <w:rPr>
          <w:b/>
          <w:bCs/>
        </w:rPr>
        <w:t>Campos Omar</w:t>
      </w:r>
      <w:r>
        <w:t>, c.f. CMPMRO94H14L400X, rappresentato e difeso dall'</w:t>
      </w:r>
      <w:r>
        <w:rPr>
          <w:b/>
          <w:bCs/>
        </w:rPr>
        <w:t>Avv. Matteo Bertocchi</w:t>
      </w:r>
      <w:r>
        <w:t xml:space="preserve"> di Bergamo Legal Società tra Avvocati s.r.l., come da procura in atti,</w:t>
      </w:r>
    </w:p>
    <w:p w14:paraId="6B503BD8" w14:textId="77777777" w:rsidR="00BE0AD6" w:rsidRDefault="00000000">
      <w:pPr>
        <w:spacing w:after="200"/>
        <w:jc w:val="center"/>
      </w:pPr>
      <w:r>
        <w:rPr>
          <w:i/>
          <w:iCs/>
        </w:rPr>
        <w:t>– ricorrente –</w:t>
      </w:r>
    </w:p>
    <w:p w14:paraId="0014CF79" w14:textId="77777777" w:rsidR="00BE0AD6" w:rsidRDefault="00000000">
      <w:pPr>
        <w:spacing w:after="120"/>
        <w:jc w:val="center"/>
      </w:pPr>
      <w:r>
        <w:t>nel procedimento di opposizione promosso</w:t>
      </w:r>
    </w:p>
    <w:p w14:paraId="39680E21" w14:textId="77777777" w:rsidR="00BE0AD6" w:rsidRDefault="00000000">
      <w:pPr>
        <w:spacing w:after="120"/>
        <w:jc w:val="center"/>
      </w:pPr>
      <w:r>
        <w:rPr>
          <w:b/>
          <w:bCs/>
        </w:rPr>
        <w:t>contro</w:t>
      </w:r>
    </w:p>
    <w:p w14:paraId="67F2D22B" w14:textId="77777777" w:rsidR="00BE0AD6" w:rsidRDefault="00000000">
      <w:pPr>
        <w:spacing w:after="160"/>
        <w:jc w:val="both"/>
      </w:pPr>
      <w:r>
        <w:rPr>
          <w:b/>
          <w:bCs/>
        </w:rPr>
        <w:t>Prefettura – Ufficio Territoriale del Governo di Brescia</w:t>
      </w:r>
      <w:r>
        <w:t xml:space="preserve">, in persona del Prefetto </w:t>
      </w:r>
      <w:r>
        <w:rPr>
          <w:i/>
          <w:iCs/>
        </w:rPr>
        <w:t>pro tempore</w:t>
      </w:r>
      <w:r>
        <w:t>,</w:t>
      </w:r>
    </w:p>
    <w:p w14:paraId="69759C5A" w14:textId="77777777" w:rsidR="00BE0AD6" w:rsidRDefault="00000000">
      <w:pPr>
        <w:spacing w:after="200"/>
        <w:jc w:val="center"/>
      </w:pPr>
      <w:r>
        <w:rPr>
          <w:i/>
          <w:iCs/>
        </w:rPr>
        <w:t>– resistente –</w:t>
      </w:r>
    </w:p>
    <w:p w14:paraId="5FFC15A4" w14:textId="77777777" w:rsidR="00BE0AD6" w:rsidRDefault="00000000">
      <w:pPr>
        <w:spacing w:after="240"/>
        <w:jc w:val="both"/>
      </w:pPr>
      <w:r>
        <w:t>avverso il decreto della Prefettura – U.T.G. di Brescia del 02/03/2026, n. identificativo 2400058609 (prot. M_IT PR_BSSPC 00025143), recante revoca della patente di guida, notificato in data 29/04/2026.</w:t>
      </w:r>
    </w:p>
    <w:p w14:paraId="64D71276" w14:textId="77777777" w:rsidR="00BE0AD6" w:rsidRDefault="00000000">
      <w:pPr>
        <w:spacing w:after="120"/>
        <w:jc w:val="both"/>
      </w:pPr>
      <w:r>
        <w:rPr>
          <w:i/>
          <w:iCs/>
        </w:rPr>
        <w:t>Sintesi dell'istanza:</w:t>
      </w:r>
    </w:p>
    <w:p w14:paraId="29EC2990" w14:textId="77777777" w:rsidR="00BE0AD6" w:rsidRDefault="00000000">
      <w:pPr>
        <w:spacing w:after="240"/>
        <w:jc w:val="both"/>
      </w:pPr>
      <w:r>
        <w:t xml:space="preserve">Il ricorrente – </w:t>
      </w:r>
      <w:r>
        <w:rPr>
          <w:b/>
          <w:bCs/>
        </w:rPr>
        <w:t>unico componente munito di patente di guida</w:t>
      </w:r>
      <w:r>
        <w:t xml:space="preserve"> di un nucleo familiare comprendente </w:t>
      </w:r>
      <w:r>
        <w:rPr>
          <w:b/>
          <w:bCs/>
        </w:rPr>
        <w:t>due figli minori in età scolare</w:t>
      </w:r>
      <w:r>
        <w:t xml:space="preserve">, privato del titolo di guida dal 29/04/2026 in forza del decreto opposto – chiede che l'istanza cautelare già formulata in ricorso, sulla quale non è intervenuta alcuna statuizione, sia decisa con </w:t>
      </w:r>
      <w:r>
        <w:rPr>
          <w:b/>
          <w:bCs/>
        </w:rPr>
        <w:t>decreto fuori udienza</w:t>
      </w:r>
      <w:r>
        <w:t xml:space="preserve"> </w:t>
      </w:r>
      <w:r>
        <w:rPr>
          <w:i/>
          <w:iCs/>
        </w:rPr>
        <w:t>ex</w:t>
      </w:r>
      <w:r>
        <w:t xml:space="preserve"> art. 5, comma 2, </w:t>
      </w:r>
      <w:proofErr w:type="spellStart"/>
      <w:r>
        <w:t>D.Lgs.</w:t>
      </w:r>
      <w:proofErr w:type="spellEnd"/>
      <w:r>
        <w:t xml:space="preserve"> 150/2011 </w:t>
      </w:r>
      <w:r>
        <w:rPr>
          <w:b/>
          <w:bCs/>
        </w:rPr>
        <w:t>prima dell'inizio dell'anno scolastico 2026/2027</w:t>
      </w:r>
      <w:r>
        <w:t xml:space="preserve"> (settembre): l'udienza fissata al 10/11/2026 comporterebbe </w:t>
      </w:r>
      <w:r>
        <w:rPr>
          <w:b/>
          <w:bCs/>
        </w:rPr>
        <w:t>oltre sei mesi di esecuzione della revoca</w:t>
      </w:r>
      <w:r>
        <w:t xml:space="preserve"> prima di qualsiasi delibazione, anche sommaria, sulla sua legittimità. In subordine, si chiede l'anticipazione dell'udienza.</w:t>
      </w:r>
    </w:p>
    <w:p w14:paraId="640333FB" w14:textId="77777777" w:rsidR="00BE0AD6" w:rsidRDefault="00000000">
      <w:pPr>
        <w:spacing w:after="200"/>
        <w:jc w:val="center"/>
      </w:pPr>
      <w:r>
        <w:rPr>
          <w:b/>
          <w:bCs/>
        </w:rPr>
        <w:t>Premesso che:</w:t>
      </w:r>
    </w:p>
    <w:p w14:paraId="69EE06A3" w14:textId="77777777" w:rsidR="00BE0AD6" w:rsidRDefault="00000000">
      <w:pPr>
        <w:spacing w:after="160"/>
        <w:jc w:val="both"/>
      </w:pPr>
      <w:r>
        <w:t xml:space="preserve">1. Con ricorso depositato in data </w:t>
      </w:r>
      <w:r w:rsidRPr="00B7585F">
        <w:rPr>
          <w:highlight w:val="yellow"/>
        </w:rPr>
        <w:t>[DA INSERIRE]</w:t>
      </w:r>
      <w:r>
        <w:t xml:space="preserve">, il sig. Campos Omar ha proposto opposizione </w:t>
      </w:r>
      <w:r>
        <w:rPr>
          <w:i/>
          <w:iCs/>
        </w:rPr>
        <w:t>ex</w:t>
      </w:r>
      <w:r>
        <w:t xml:space="preserve"> art. 205 C.d.S. e art. 6 </w:t>
      </w:r>
      <w:proofErr w:type="spellStart"/>
      <w:r>
        <w:t>D.Lgs.</w:t>
      </w:r>
      <w:proofErr w:type="spellEnd"/>
      <w:r>
        <w:t xml:space="preserve"> 150/2011 avverso il decreto prefettizio in epigrafe, formulando contestuale istanza di sospensione cautelare dell'esecuzione del provvedimento, </w:t>
      </w:r>
      <w:r>
        <w:rPr>
          <w:i/>
          <w:iCs/>
        </w:rPr>
        <w:t>ex</w:t>
      </w:r>
      <w:r>
        <w:t xml:space="preserve"> art. 5 </w:t>
      </w:r>
      <w:proofErr w:type="spellStart"/>
      <w:r>
        <w:t>D.Lgs.</w:t>
      </w:r>
      <w:proofErr w:type="spellEnd"/>
      <w:r>
        <w:t xml:space="preserve"> 150/2011, articolata al motivo VIII dell'esposizione in diritto e ripresa nelle conclusioni in via preliminare.</w:t>
      </w:r>
    </w:p>
    <w:p w14:paraId="6B818EFA" w14:textId="77777777" w:rsidR="00BE0AD6" w:rsidRDefault="00000000">
      <w:pPr>
        <w:spacing w:after="160"/>
        <w:jc w:val="both"/>
      </w:pPr>
      <w:r>
        <w:t xml:space="preserve">2. Con decreto di fissazione, il Giudice designato, dott.ssa Francesca Poma, ha fissato l'udienza di discussione innanzi a sé al </w:t>
      </w:r>
      <w:r>
        <w:rPr>
          <w:b/>
          <w:bCs/>
        </w:rPr>
        <w:t>10/11/2026, ore 11:30</w:t>
      </w:r>
      <w:r>
        <w:t xml:space="preserve">, in presenza, assegnando alla parte resistente termine fino a dieci giorni prima dell'udienza per la propria costituzione, </w:t>
      </w:r>
      <w:r>
        <w:rPr>
          <w:b/>
          <w:bCs/>
        </w:rPr>
        <w:t>senza assumere alcuna statuizione sull'istanza cautelare</w:t>
      </w:r>
      <w:r>
        <w:t xml:space="preserve"> formulata in ricorso.</w:t>
      </w:r>
    </w:p>
    <w:p w14:paraId="6456FF02" w14:textId="77777777" w:rsidR="00BE0AD6" w:rsidRDefault="00000000">
      <w:pPr>
        <w:spacing w:after="160"/>
        <w:jc w:val="both"/>
      </w:pPr>
      <w:r>
        <w:lastRenderedPageBreak/>
        <w:t xml:space="preserve">3. La fissazione dell'udienza di discussione </w:t>
      </w:r>
      <w:r>
        <w:rPr>
          <w:b/>
          <w:bCs/>
        </w:rPr>
        <w:t>non costituisce pronuncia, neppure implicita, sull'istanza di sospensione</w:t>
      </w:r>
      <w:r>
        <w:t xml:space="preserve">, che resta pertanto pendente e impregiudicata: l'art. 5, comma 1, </w:t>
      </w:r>
      <w:proofErr w:type="spellStart"/>
      <w:r>
        <w:t>D.Lgs.</w:t>
      </w:r>
      <w:proofErr w:type="spellEnd"/>
      <w:r>
        <w:t xml:space="preserve"> 150/2011 prevede che sull'istanza il giudice provveda, sentite le parti, con ordinanza, mentre il comma 2 della medesima disposizione contempla la possibilità di pronuncia anticipata con decreto fuori udienza; nessuna delle due forme è stata, allo stato, adottata.</w:t>
      </w:r>
    </w:p>
    <w:p w14:paraId="7881E908" w14:textId="77777777" w:rsidR="00BE0AD6" w:rsidRDefault="00000000">
      <w:pPr>
        <w:spacing w:after="160"/>
        <w:jc w:val="both"/>
      </w:pPr>
      <w:r>
        <w:t xml:space="preserve">4. Con la presente istanza il ricorrente intende sottoporre al Giudice </w:t>
      </w:r>
      <w:r>
        <w:rPr>
          <w:b/>
          <w:bCs/>
        </w:rPr>
        <w:t>circostanze sopravvenute</w:t>
      </w:r>
      <w:r>
        <w:t xml:space="preserve"> – e segnatamente la distanza temporale dell'udienza fissata e l'approssimarsi dell'anno scolastico 2026/2027 – che aggravano in modo significativo il </w:t>
      </w:r>
      <w:r>
        <w:rPr>
          <w:i/>
          <w:iCs/>
        </w:rPr>
        <w:t>periculum in mora</w:t>
      </w:r>
      <w:r>
        <w:t xml:space="preserve"> già rappresentato in ricorso e integrano il «</w:t>
      </w:r>
      <w:r>
        <w:rPr>
          <w:i/>
          <w:iCs/>
        </w:rPr>
        <w:t>pericolo imminente di un danno grave e irreparabile</w:t>
      </w:r>
      <w:r>
        <w:t xml:space="preserve">» richiesto dall'art. 5, comma 2, </w:t>
      </w:r>
      <w:proofErr w:type="spellStart"/>
      <w:r>
        <w:t>D.Lgs.</w:t>
      </w:r>
      <w:proofErr w:type="spellEnd"/>
      <w:r>
        <w:t xml:space="preserve"> 150/2011 per la pronuncia cautelare fuori udienza.</w:t>
      </w:r>
    </w:p>
    <w:p w14:paraId="2AD5DB08" w14:textId="77777777" w:rsidR="00BE0AD6" w:rsidRDefault="00000000">
      <w:pPr>
        <w:spacing w:after="200"/>
        <w:jc w:val="center"/>
      </w:pPr>
      <w:r>
        <w:rPr>
          <w:i/>
          <w:iCs/>
        </w:rPr>
        <w:t>Considerato in diritto</w:t>
      </w:r>
    </w:p>
    <w:p w14:paraId="694096F3" w14:textId="77777777" w:rsidR="00BE0AD6" w:rsidRDefault="00000000">
      <w:pPr>
        <w:spacing w:after="160"/>
        <w:jc w:val="both"/>
      </w:pPr>
      <w:r>
        <w:rPr>
          <w:b/>
          <w:bCs/>
        </w:rPr>
        <w:t>I. Sulla perdurante pendenza dell'istanza cautelare e sull'ammissibilità della presente istanza.</w:t>
      </w:r>
    </w:p>
    <w:p w14:paraId="6DEBC855" w14:textId="77777777" w:rsidR="00BE0AD6" w:rsidRDefault="00000000">
      <w:pPr>
        <w:spacing w:after="160"/>
        <w:jc w:val="both"/>
      </w:pPr>
      <w:r>
        <w:t xml:space="preserve">L'istanza di sospensione formulata in ricorso non è stata decisa. La presente istanza non costituisce, dunque, riproposizione di domanda rigettata, bensì </w:t>
      </w:r>
      <w:r>
        <w:rPr>
          <w:b/>
          <w:bCs/>
        </w:rPr>
        <w:t>sollecitazione di pronuncia su domanda tuttora pendente</w:t>
      </w:r>
      <w:r>
        <w:t xml:space="preserve">, arricchita da elementi sopravvenuti. È principio generale che le istanze cautelari, per loro natura </w:t>
      </w:r>
      <w:r>
        <w:rPr>
          <w:i/>
          <w:iCs/>
        </w:rPr>
        <w:t xml:space="preserve">rebus sic </w:t>
      </w:r>
      <w:proofErr w:type="spellStart"/>
      <w:r>
        <w:rPr>
          <w:i/>
          <w:iCs/>
        </w:rPr>
        <w:t>stantibus</w:t>
      </w:r>
      <w:proofErr w:type="spellEnd"/>
      <w:r>
        <w:t>, possano essere in ogni tempo riproposte o integrate alla luce di circostanze nuove o sopravvenute, tanto più ove – come nella specie – sulla domanda originaria non sia intervenuta alcuna statuizione.</w:t>
      </w:r>
    </w:p>
    <w:p w14:paraId="09715FD7" w14:textId="77777777" w:rsidR="00BE0AD6" w:rsidRDefault="00000000">
      <w:pPr>
        <w:spacing w:after="160"/>
        <w:jc w:val="both"/>
      </w:pPr>
      <w:r>
        <w:rPr>
          <w:b/>
          <w:bCs/>
        </w:rPr>
        <w:t xml:space="preserve">II. Sul </w:t>
      </w:r>
      <w:r>
        <w:rPr>
          <w:b/>
          <w:bCs/>
          <w:i/>
          <w:iCs/>
        </w:rPr>
        <w:t>periculum in mora</w:t>
      </w:r>
      <w:r>
        <w:rPr>
          <w:b/>
          <w:bCs/>
        </w:rPr>
        <w:t>: l'aggravamento sopravvenuto del pregiudizio.</w:t>
      </w:r>
    </w:p>
    <w:p w14:paraId="5D76716D" w14:textId="77777777" w:rsidR="00BE0AD6" w:rsidRDefault="00000000">
      <w:pPr>
        <w:spacing w:after="160"/>
        <w:jc w:val="both"/>
      </w:pPr>
      <w:r>
        <w:t xml:space="preserve">Alle circostanze già rappresentate in ricorso – che qui si richiamano integralmente: il ricorrente è padre di due figli minori in età scolare, è </w:t>
      </w:r>
      <w:r>
        <w:rPr>
          <w:b/>
          <w:bCs/>
        </w:rPr>
        <w:t>l'unico componente del nucleo familiare munito di patente di guida</w:t>
      </w:r>
      <w:r>
        <w:t xml:space="preserve"> (essendo la partner priva di abilitazione alla guida), le scuole frequentate dai minori distano oltre 2 km dall'abitazione e il trasporto pubblico locale non costituisce alternativa praticabile (autodichiarazione </w:t>
      </w:r>
      <w:r>
        <w:rPr>
          <w:i/>
          <w:iCs/>
        </w:rPr>
        <w:t>ex</w:t>
      </w:r>
      <w:r>
        <w:t xml:space="preserve"> artt. 46-47 D.P.R. 445/2000, già in atti sub All. 8) – si aggiungono le seguenti </w:t>
      </w:r>
      <w:r>
        <w:rPr>
          <w:b/>
          <w:bCs/>
        </w:rPr>
        <w:t>sopravvenienze</w:t>
      </w:r>
      <w:r>
        <w:t>, che mutano in modo sostanziale i termini della valutazione cautelare.</w:t>
      </w:r>
    </w:p>
    <w:p w14:paraId="23EA56E3" w14:textId="77777777" w:rsidR="00BE0AD6" w:rsidRDefault="00000000">
      <w:pPr>
        <w:spacing w:after="160"/>
        <w:jc w:val="both"/>
      </w:pPr>
      <w:r>
        <w:rPr>
          <w:b/>
          <w:bCs/>
        </w:rPr>
        <w:t>II.1. La durata, ormai certa e misurabile, del pregiudizio.</w:t>
      </w:r>
      <w:r>
        <w:t xml:space="preserve"> Alla data dell'udienza fissata (10/11/2026), il decreto di revoca avrà avuto </w:t>
      </w:r>
      <w:r>
        <w:rPr>
          <w:b/>
          <w:bCs/>
        </w:rPr>
        <w:t>ininterrotta esecuzione per sei mesi e dodici giorni</w:t>
      </w:r>
      <w:r>
        <w:t xml:space="preserve"> (dalla notifica del 29/04/2026). Il pregiudizio che in ricorso era prospettato come effetto futuro della fisiologica durata del giudizio ha ora una durata </w:t>
      </w:r>
      <w:r>
        <w:rPr>
          <w:b/>
          <w:bCs/>
        </w:rPr>
        <w:t>certa, attuale e quantificabile</w:t>
      </w:r>
      <w:r>
        <w:t>: oltre sei mesi di privazione integrale della mobilità motorizzata per l'intero nucleo familiare, quale che sia l'esito del giudizio di merito.</w:t>
      </w:r>
    </w:p>
    <w:p w14:paraId="701418B4" w14:textId="77777777" w:rsidR="00BE0AD6" w:rsidRDefault="00000000">
      <w:pPr>
        <w:spacing w:after="160"/>
        <w:jc w:val="both"/>
      </w:pPr>
      <w:r>
        <w:rPr>
          <w:b/>
          <w:bCs/>
        </w:rPr>
        <w:t>II.2. L'imminente inizio dell'anno scolastico 2026/2027.</w:t>
      </w:r>
      <w:r>
        <w:t xml:space="preserve"> Con la ripresa delle attività scolastiche (settembre 2026), l'esigenza di accompagnamento quotidiano dei figli minori – presso istituti distanti oltre 2 km dall'abitazione e non raggiungibili autonomamente da bambini in tenera età, né adeguatamente serviti dal trasporto pubblico locale – diverrà </w:t>
      </w:r>
      <w:r>
        <w:rPr>
          <w:b/>
          <w:bCs/>
        </w:rPr>
        <w:t>attuale, quotidiana e non differibile</w:t>
      </w:r>
      <w:r>
        <w:t>. Rispetto alla data odierna, tale scadenza integra con evidenza il requisito dell'</w:t>
      </w:r>
      <w:r>
        <w:rPr>
          <w:b/>
          <w:bCs/>
        </w:rPr>
        <w:t>imminenza</w:t>
      </w:r>
      <w:r>
        <w:t xml:space="preserve"> del pericolo richiesto dall'art. 5, comma 2, </w:t>
      </w:r>
      <w:proofErr w:type="spellStart"/>
      <w:r>
        <w:t>D.Lgs.</w:t>
      </w:r>
      <w:proofErr w:type="spellEnd"/>
      <w:r>
        <w:t xml:space="preserve"> 150/2011: il danno </w:t>
      </w:r>
      <w:r>
        <w:lastRenderedPageBreak/>
        <w:t>non è eventuale né remoto, ma destinato a prodursi, con cadenza giornaliera, a partire da una data certa e prossima, anteriore di circa due mesi all'udienza fissata.</w:t>
      </w:r>
    </w:p>
    <w:p w14:paraId="4E04B437" w14:textId="77777777" w:rsidR="00BE0AD6" w:rsidRDefault="00000000">
      <w:pPr>
        <w:spacing w:after="160"/>
        <w:jc w:val="both"/>
      </w:pPr>
      <w:r>
        <w:rPr>
          <w:b/>
          <w:bCs/>
        </w:rPr>
        <w:t>II.3. L'irreparabilità: la consumazione di fatto della sanzione prima del giudizio.</w:t>
      </w:r>
      <w:r>
        <w:t xml:space="preserve"> Ove l'opposizione fosse accolta all'esito dell'udienza di novembre, il ricorrente avrebbe comunque integralmente subìto, </w:t>
      </w:r>
      <w:r>
        <w:rPr>
          <w:i/>
          <w:iCs/>
        </w:rPr>
        <w:t>medio tempore</w:t>
      </w:r>
      <w:r>
        <w:t xml:space="preserve">, un pregiudizio non più riparabile né compensabile: il tempo di mobilità familiare perduto non è suscettibile di restituzione, né di ristoro per equivalente. La misura ablativa più afflittiva prevista dall'ordinamento per la fattispecie verrebbe così </w:t>
      </w:r>
      <w:r>
        <w:rPr>
          <w:b/>
          <w:bCs/>
        </w:rPr>
        <w:t>di fatto scontata prima e indipendentemente dall'accertamento giurisdizionale della sua legittimità</w:t>
      </w:r>
      <w:r>
        <w:t>, per una durata prossima – se non superiore – a quella delle misure sospensive che lo stesso ricorso invoca, in via subordinata, quale sanzione proporzionata alla concreta gravità del fatto. Un simile esito svuoterebbe di effettività la tutela giurisdizionale (</w:t>
      </w:r>
      <w:r>
        <w:rPr>
          <w:b/>
          <w:bCs/>
        </w:rPr>
        <w:t>art. 24 Cost.</w:t>
      </w:r>
      <w:r>
        <w:t xml:space="preserve">), risolvendosi nella sostanziale anticipazione degli effetti di una sanzione la cui legittimità è </w:t>
      </w:r>
      <w:r>
        <w:rPr>
          <w:i/>
          <w:iCs/>
        </w:rPr>
        <w:t xml:space="preserve">sub </w:t>
      </w:r>
      <w:proofErr w:type="spellStart"/>
      <w:r>
        <w:rPr>
          <w:i/>
          <w:iCs/>
        </w:rPr>
        <w:t>iudice</w:t>
      </w:r>
      <w:proofErr w:type="spellEnd"/>
      <w:r>
        <w:t>.</w:t>
      </w:r>
    </w:p>
    <w:p w14:paraId="25828184" w14:textId="77777777" w:rsidR="00BE0AD6" w:rsidRDefault="00000000">
      <w:pPr>
        <w:spacing w:after="160"/>
        <w:jc w:val="both"/>
      </w:pPr>
      <w:r>
        <w:rPr>
          <w:b/>
          <w:bCs/>
        </w:rPr>
        <w:t xml:space="preserve">III. Sul </w:t>
      </w:r>
      <w:r>
        <w:rPr>
          <w:b/>
          <w:bCs/>
          <w:i/>
          <w:iCs/>
        </w:rPr>
        <w:t>fumus boni iuris</w:t>
      </w:r>
      <w:r>
        <w:rPr>
          <w:b/>
          <w:bCs/>
        </w:rPr>
        <w:t>.</w:t>
      </w:r>
    </w:p>
    <w:p w14:paraId="1AAF6F22" w14:textId="77777777" w:rsidR="00BE0AD6" w:rsidRDefault="00000000">
      <w:pPr>
        <w:spacing w:after="160"/>
        <w:jc w:val="both"/>
      </w:pPr>
      <w:r>
        <w:t xml:space="preserve">Si richiamano integralmente i motivi I-VII del ricorso introduttivo, e in particolare: la </w:t>
      </w:r>
      <w:r>
        <w:rPr>
          <w:b/>
          <w:bCs/>
        </w:rPr>
        <w:t>violazione diretta del dictum di Corte cost. n. 246/2022</w:t>
      </w:r>
      <w:r>
        <w:t xml:space="preserve"> per mancato esercizio della discrezionalità e difetto di motivazione individualizzata (motivo I); la sproporzione della sanzione rispetto alla condotta concretamente accertata – una </w:t>
      </w:r>
      <w:r>
        <w:rPr>
          <w:i/>
          <w:iCs/>
        </w:rPr>
        <w:t>sosta</w:t>
      </w:r>
      <w:r>
        <w:t xml:space="preserve"> del veicolo in assenza del custode, non una guida attiva (motivo II); la motivazione meramente apparente quanto alla pericolosità di condotte di natura esclusivamente documentale (motivo III); l'omessa comunicazione di avvio del procedimento </w:t>
      </w:r>
      <w:r>
        <w:rPr>
          <w:i/>
          <w:iCs/>
        </w:rPr>
        <w:t>ex</w:t>
      </w:r>
      <w:r>
        <w:t xml:space="preserve"> art. 7 L. 241/1990 (motivo VI). Si tratta di profili di indubbia consistenza, fondati su giurisprudenza costituzionale univoca e consolidata (Corte cost. n. 246/2022; Corte cost. n. 52/2024) e di immediata percepibilità anche in sede di delibazione sommaria.</w:t>
      </w:r>
    </w:p>
    <w:p w14:paraId="57473E72" w14:textId="77777777" w:rsidR="00BE0AD6" w:rsidRDefault="00000000">
      <w:pPr>
        <w:spacing w:after="120"/>
        <w:jc w:val="center"/>
      </w:pPr>
      <w:r>
        <w:rPr>
          <w:b/>
          <w:bCs/>
        </w:rPr>
        <w:t>Tutto ciò premesso e considerato,</w:t>
      </w:r>
    </w:p>
    <w:p w14:paraId="6333861C" w14:textId="77777777" w:rsidR="00BE0AD6" w:rsidRDefault="00000000">
      <w:pPr>
        <w:spacing w:after="160"/>
        <w:jc w:val="both"/>
      </w:pPr>
      <w:r>
        <w:t>il sig. Campos Omar, come sopra rappresentato e difeso,</w:t>
      </w:r>
    </w:p>
    <w:p w14:paraId="4AACD330" w14:textId="77777777" w:rsidR="00BE0AD6" w:rsidRDefault="00000000">
      <w:pPr>
        <w:spacing w:after="200"/>
        <w:jc w:val="center"/>
      </w:pPr>
      <w:r>
        <w:rPr>
          <w:b/>
          <w:bCs/>
        </w:rPr>
        <w:t>chiede</w:t>
      </w:r>
    </w:p>
    <w:p w14:paraId="632EAB4E" w14:textId="77777777" w:rsidR="00BE0AD6" w:rsidRDefault="00000000">
      <w:pPr>
        <w:spacing w:after="160"/>
        <w:jc w:val="both"/>
      </w:pPr>
      <w:r>
        <w:t xml:space="preserve">che l'Ill.mo Giudice di Pace </w:t>
      </w:r>
      <w:proofErr w:type="spellStart"/>
      <w:r>
        <w:t>adìto</w:t>
      </w:r>
      <w:proofErr w:type="spellEnd"/>
      <w:r>
        <w:t xml:space="preserve"> voglia:</w:t>
      </w:r>
    </w:p>
    <w:p w14:paraId="106ECB7F" w14:textId="77777777" w:rsidR="00BE0AD6" w:rsidRDefault="00000000">
      <w:pPr>
        <w:spacing w:after="160"/>
        <w:jc w:val="both"/>
      </w:pPr>
      <w:r>
        <w:t xml:space="preserve">– </w:t>
      </w:r>
      <w:r>
        <w:rPr>
          <w:b/>
          <w:bCs/>
        </w:rPr>
        <w:t>in via principale</w:t>
      </w:r>
      <w:r>
        <w:t xml:space="preserve">, </w:t>
      </w:r>
      <w:r>
        <w:rPr>
          <w:i/>
          <w:iCs/>
        </w:rPr>
        <w:t>ex</w:t>
      </w:r>
      <w:r>
        <w:t xml:space="preserve"> art. 5, comma 2, </w:t>
      </w:r>
      <w:proofErr w:type="spellStart"/>
      <w:r>
        <w:t>D.Lgs.</w:t>
      </w:r>
      <w:proofErr w:type="spellEnd"/>
      <w:r>
        <w:t xml:space="preserve"> 150/2011, ravvisato il pericolo imminente di un danno grave e irreparabile, </w:t>
      </w:r>
      <w:r>
        <w:rPr>
          <w:b/>
          <w:bCs/>
        </w:rPr>
        <w:t>sospendere con decreto pronunciato fuori udienza</w:t>
      </w:r>
      <w:r>
        <w:t xml:space="preserve">, anche </w:t>
      </w:r>
      <w:r>
        <w:rPr>
          <w:i/>
          <w:iCs/>
        </w:rPr>
        <w:t>inaudita altera parte</w:t>
      </w:r>
      <w:r>
        <w:t>, l'esecuzione del decreto della Prefettura – U.T.G. di Brescia del 02/03/2026, n. 2400058609 (prot. M_IT PR_BSSPC 00025143), con conferma del provvedimento alla prima udienza utile ai sensi del medesimo art. 5;</w:t>
      </w:r>
    </w:p>
    <w:p w14:paraId="058179CB" w14:textId="77777777" w:rsidR="00BE0AD6" w:rsidRDefault="00000000">
      <w:pPr>
        <w:spacing w:after="160"/>
        <w:jc w:val="both"/>
      </w:pPr>
      <w:r>
        <w:t xml:space="preserve">– </w:t>
      </w:r>
      <w:r>
        <w:rPr>
          <w:b/>
          <w:bCs/>
        </w:rPr>
        <w:t>in via subordinata</w:t>
      </w:r>
      <w:r>
        <w:t>, disporre l'</w:t>
      </w:r>
      <w:r>
        <w:rPr>
          <w:b/>
          <w:bCs/>
        </w:rPr>
        <w:t>anticipazione dell'udienza di discussione</w:t>
      </w:r>
      <w:r>
        <w:t xml:space="preserve"> già fissata al 10/11/2026, ore 11:30, a data anteriore all'inizio dell'anno scolastico 2026/2027 o comunque alla data più prossima consentita dal ruolo, per la trattazione con priorità dell'istanza cautelare e, occorrendo, del merito;</w:t>
      </w:r>
    </w:p>
    <w:p w14:paraId="532A0C21" w14:textId="77777777" w:rsidR="00BE0AD6" w:rsidRDefault="00000000">
      <w:pPr>
        <w:spacing w:after="160"/>
        <w:jc w:val="both"/>
      </w:pPr>
      <w:r>
        <w:lastRenderedPageBreak/>
        <w:t xml:space="preserve">– </w:t>
      </w:r>
      <w:r>
        <w:rPr>
          <w:b/>
          <w:bCs/>
        </w:rPr>
        <w:t>in ulteriore subordine</w:t>
      </w:r>
      <w:r>
        <w:t xml:space="preserve">, fissare apposita udienza dedicata alla sola trattazione dell'istanza cautelare, sentite le parti, ai fini della pronuncia dell'ordinanza di cui all'art. 5, comma 1, </w:t>
      </w:r>
      <w:proofErr w:type="spellStart"/>
      <w:r>
        <w:t>D.Lgs.</w:t>
      </w:r>
      <w:proofErr w:type="spellEnd"/>
      <w:r>
        <w:t xml:space="preserve"> 150/2011.</w:t>
      </w:r>
    </w:p>
    <w:p w14:paraId="0F202E59" w14:textId="77777777" w:rsidR="00BE0AD6" w:rsidRDefault="00000000">
      <w:pPr>
        <w:spacing w:after="120"/>
        <w:jc w:val="both"/>
      </w:pPr>
      <w:r>
        <w:rPr>
          <w:i/>
          <w:iCs/>
        </w:rPr>
        <w:t>Si producono:</w:t>
      </w:r>
    </w:p>
    <w:p w14:paraId="609ED66F" w14:textId="77777777" w:rsidR="00BE0AD6" w:rsidRDefault="00000000">
      <w:pPr>
        <w:spacing w:after="160"/>
        <w:jc w:val="both"/>
      </w:pPr>
      <w:r>
        <w:t>1 – Certificati di iscrizione scolastica dei figli minori per l'anno 2026/2027 [DA RICHIEDERE AL CLIENTE / agli istituti]</w:t>
      </w:r>
    </w:p>
    <w:p w14:paraId="489552D0" w14:textId="77777777" w:rsidR="00BE0AD6" w:rsidRDefault="00000000">
      <w:pPr>
        <w:spacing w:after="160"/>
        <w:jc w:val="both"/>
      </w:pPr>
      <w:r>
        <w:t>2 – [EVENTUALE: autodichiarazione integrativa del ricorrente con i dati aggiornati del nucleo familiare]</w:t>
      </w:r>
    </w:p>
    <w:p w14:paraId="2396E462" w14:textId="77777777" w:rsidR="00BE0AD6" w:rsidRDefault="00BE0AD6"/>
    <w:p w14:paraId="6EC44FE0" w14:textId="77777777" w:rsidR="00BE0AD6" w:rsidRDefault="00000000">
      <w:pPr>
        <w:spacing w:after="160"/>
        <w:jc w:val="both"/>
      </w:pPr>
      <w:r>
        <w:t>Con osservanza.</w:t>
      </w:r>
    </w:p>
    <w:p w14:paraId="7C394121" w14:textId="77777777" w:rsidR="00BE0AD6" w:rsidRDefault="00BE0AD6"/>
    <w:p w14:paraId="3B847976" w14:textId="77777777" w:rsidR="00BE0AD6" w:rsidRDefault="00000000">
      <w:pPr>
        <w:tabs>
          <w:tab w:val="right" w:pos="9000"/>
        </w:tabs>
        <w:spacing w:after="160"/>
      </w:pPr>
      <w:r>
        <w:t>Bergamo, [DA INSERIRE: data]</w:t>
      </w:r>
      <w:r>
        <w:tab/>
        <w:t>Avv. Matteo Bertocchi</w:t>
      </w:r>
    </w:p>
    <w:sectPr w:rsidR="00BE0AD6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1584"/>
    <w:multiLevelType w:val="hybridMultilevel"/>
    <w:tmpl w:val="E66C6888"/>
    <w:lvl w:ilvl="0" w:tplc="C9D4650C">
      <w:start w:val="1"/>
      <w:numFmt w:val="bullet"/>
      <w:lvlText w:val="●"/>
      <w:lvlJc w:val="left"/>
      <w:pPr>
        <w:ind w:left="720" w:hanging="360"/>
      </w:pPr>
    </w:lvl>
    <w:lvl w:ilvl="1" w:tplc="DB82AFD2">
      <w:start w:val="1"/>
      <w:numFmt w:val="bullet"/>
      <w:lvlText w:val="○"/>
      <w:lvlJc w:val="left"/>
      <w:pPr>
        <w:ind w:left="1440" w:hanging="360"/>
      </w:pPr>
    </w:lvl>
    <w:lvl w:ilvl="2" w:tplc="C02C110E">
      <w:start w:val="1"/>
      <w:numFmt w:val="bullet"/>
      <w:lvlText w:val="■"/>
      <w:lvlJc w:val="left"/>
      <w:pPr>
        <w:ind w:left="2160" w:hanging="360"/>
      </w:pPr>
    </w:lvl>
    <w:lvl w:ilvl="3" w:tplc="B302D056">
      <w:start w:val="1"/>
      <w:numFmt w:val="bullet"/>
      <w:lvlText w:val="●"/>
      <w:lvlJc w:val="left"/>
      <w:pPr>
        <w:ind w:left="2880" w:hanging="360"/>
      </w:pPr>
    </w:lvl>
    <w:lvl w:ilvl="4" w:tplc="F39094A2">
      <w:start w:val="1"/>
      <w:numFmt w:val="bullet"/>
      <w:lvlText w:val="○"/>
      <w:lvlJc w:val="left"/>
      <w:pPr>
        <w:ind w:left="3600" w:hanging="360"/>
      </w:pPr>
    </w:lvl>
    <w:lvl w:ilvl="5" w:tplc="77127FFA">
      <w:start w:val="1"/>
      <w:numFmt w:val="bullet"/>
      <w:lvlText w:val="■"/>
      <w:lvlJc w:val="left"/>
      <w:pPr>
        <w:ind w:left="4320" w:hanging="360"/>
      </w:pPr>
    </w:lvl>
    <w:lvl w:ilvl="6" w:tplc="21B694C8">
      <w:start w:val="1"/>
      <w:numFmt w:val="bullet"/>
      <w:lvlText w:val="●"/>
      <w:lvlJc w:val="left"/>
      <w:pPr>
        <w:ind w:left="5040" w:hanging="360"/>
      </w:pPr>
    </w:lvl>
    <w:lvl w:ilvl="7" w:tplc="2FF663CE">
      <w:start w:val="1"/>
      <w:numFmt w:val="bullet"/>
      <w:lvlText w:val="●"/>
      <w:lvlJc w:val="left"/>
      <w:pPr>
        <w:ind w:left="5760" w:hanging="360"/>
      </w:pPr>
    </w:lvl>
    <w:lvl w:ilvl="8" w:tplc="4836C98A">
      <w:start w:val="1"/>
      <w:numFmt w:val="bullet"/>
      <w:lvlText w:val="●"/>
      <w:lvlJc w:val="left"/>
      <w:pPr>
        <w:ind w:left="6480" w:hanging="360"/>
      </w:pPr>
    </w:lvl>
  </w:abstractNum>
  <w:num w:numId="1" w16cid:durableId="787089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AD6"/>
    <w:rsid w:val="00831B39"/>
    <w:rsid w:val="00B7585F"/>
    <w:rsid w:val="00B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43E6"/>
  <w15:docId w15:val="{D7E4FEEE-8C30-418A-BD41-9F1BC9CD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1340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dolazza</cp:lastModifiedBy>
  <cp:revision>2</cp:revision>
  <dcterms:created xsi:type="dcterms:W3CDTF">2026-06-11T14:30:00Z</dcterms:created>
  <dcterms:modified xsi:type="dcterms:W3CDTF">2026-06-11T14:30:00Z</dcterms:modified>
</cp:coreProperties>
</file>