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25D1E" w14:textId="77777777" w:rsidR="00AB52E8" w:rsidRDefault="00000000">
      <w:pPr>
        <w:jc w:val="center"/>
      </w:pPr>
      <w:r>
        <w:rPr>
          <w:b/>
          <w:bCs/>
        </w:rPr>
        <w:t>BERGAMO LEGAL</w:t>
      </w:r>
    </w:p>
    <w:p w14:paraId="63EB2FE6" w14:textId="77777777" w:rsidR="00AB52E8" w:rsidRDefault="00000000">
      <w:pPr>
        <w:jc w:val="center"/>
      </w:pPr>
      <w:r>
        <w:rPr>
          <w:b/>
          <w:bCs/>
        </w:rPr>
        <w:t>Società tra Avvocati s.r.l.</w:t>
      </w:r>
    </w:p>
    <w:p w14:paraId="509968E4" w14:textId="77777777" w:rsidR="00AB52E8" w:rsidRDefault="00000000">
      <w:pPr>
        <w:jc w:val="center"/>
      </w:pPr>
      <w:r>
        <w:rPr>
          <w:i/>
          <w:iCs/>
        </w:rPr>
        <w:t>www.bergamo.legal</w:t>
      </w:r>
    </w:p>
    <w:p w14:paraId="2859C09B" w14:textId="77777777" w:rsidR="00AB52E8" w:rsidRDefault="00AB52E8"/>
    <w:p w14:paraId="163EC29E" w14:textId="77777777" w:rsidR="00AB52E8" w:rsidRDefault="00000000">
      <w:pPr>
        <w:jc w:val="center"/>
      </w:pPr>
      <w:r>
        <w:rPr>
          <w:i/>
          <w:iCs/>
        </w:rPr>
        <w:t>Avv. Matteo Bertocchi</w:t>
      </w:r>
    </w:p>
    <w:p w14:paraId="00BCE5BE" w14:textId="77777777" w:rsidR="00AB52E8" w:rsidRDefault="00000000">
      <w:pPr>
        <w:jc w:val="center"/>
      </w:pPr>
      <w:r>
        <w:rPr>
          <w:i/>
          <w:iCs/>
        </w:rPr>
        <w:t>Avv. Daiana Chiappa</w:t>
      </w:r>
    </w:p>
    <w:p w14:paraId="69C6624B" w14:textId="77777777" w:rsidR="00AB52E8" w:rsidRDefault="00AB52E8"/>
    <w:p w14:paraId="7AB5C0E5" w14:textId="77777777" w:rsidR="00AB52E8" w:rsidRDefault="00000000">
      <w:r>
        <w:t>Bergamo, 2 luglio 2026</w:t>
      </w:r>
    </w:p>
    <w:p w14:paraId="29B5FAD8" w14:textId="77777777" w:rsidR="00AB52E8" w:rsidRDefault="00AB52E8"/>
    <w:p w14:paraId="4564E871" w14:textId="77777777" w:rsidR="00AB52E8" w:rsidRDefault="00000000">
      <w:r>
        <w:rPr>
          <w:b/>
          <w:bCs/>
        </w:rPr>
        <w:t>Prof.ssa Alice Melocchi – Amministratore di Sostegno</w:t>
      </w:r>
    </w:p>
    <w:p w14:paraId="4B3604D3" w14:textId="77777777" w:rsidR="00AB52E8" w:rsidRDefault="00000000">
      <w:r>
        <w:t>c/o Studio Legale Bergamo Legal Società tra Avvocati s.r.l.</w:t>
      </w:r>
    </w:p>
    <w:p w14:paraId="72640152" w14:textId="77777777" w:rsidR="00AB52E8" w:rsidRDefault="00000000">
      <w:r>
        <w:t>Avv. Matteo Bertocchi</w:t>
      </w:r>
    </w:p>
    <w:p w14:paraId="01938B7F" w14:textId="77777777" w:rsidR="00AB52E8" w:rsidRDefault="00000000">
      <w:r>
        <w:t>Via Fratelli Calvi, 10E – 24122 Bergamo (BG)</w:t>
      </w:r>
    </w:p>
    <w:p w14:paraId="145B3F69" w14:textId="77777777" w:rsidR="00AB52E8" w:rsidRDefault="00000000">
      <w:r>
        <w:t>PEC: matteobertocchi@bergamo.pecavvocati.it</w:t>
      </w:r>
    </w:p>
    <w:p w14:paraId="0B9C626F" w14:textId="77777777" w:rsidR="00AB52E8" w:rsidRDefault="00000000">
      <w:r>
        <w:t>Tel.: 035 233217</w:t>
      </w:r>
    </w:p>
    <w:p w14:paraId="0978FFA7" w14:textId="77777777" w:rsidR="00AB52E8" w:rsidRDefault="00AB52E8"/>
    <w:p w14:paraId="01F451CC" w14:textId="77777777" w:rsidR="00AB52E8" w:rsidRDefault="00000000">
      <w:r>
        <w:rPr>
          <w:b/>
          <w:bCs/>
        </w:rPr>
        <w:t>Tribunale Ordinario di Bergamo</w:t>
      </w:r>
    </w:p>
    <w:p w14:paraId="14F2A9B6" w14:textId="77777777" w:rsidR="00AB52E8" w:rsidRDefault="00000000">
      <w:r>
        <w:rPr>
          <w:b/>
          <w:bCs/>
        </w:rPr>
        <w:t>Ufficio del Giudice Tutelare</w:t>
      </w:r>
    </w:p>
    <w:p w14:paraId="3C65557E" w14:textId="77777777" w:rsidR="00AB52E8" w:rsidRDefault="00000000">
      <w:r>
        <w:t>Giudice Tutelare Delegato Dott.ssa Simona Maria Domenica Cherubini</w:t>
      </w:r>
    </w:p>
    <w:p w14:paraId="168D959C" w14:textId="77777777" w:rsidR="00AB52E8" w:rsidRDefault="00000000">
      <w:r>
        <w:t>R.G. n. 861/2024 V.G.</w:t>
      </w:r>
    </w:p>
    <w:p w14:paraId="50B140C3" w14:textId="77777777" w:rsidR="00AB52E8" w:rsidRDefault="00000000">
      <w:r>
        <w:t>Udienza fissata, con decreto del 24 maggio 2026, per il giorno 3 luglio 2026, ore 12:15</w:t>
      </w:r>
    </w:p>
    <w:p w14:paraId="3B0E506F" w14:textId="77777777" w:rsidR="00AB52E8" w:rsidRDefault="00AB52E8"/>
    <w:p w14:paraId="2F3072C4" w14:textId="77777777" w:rsidR="00AB52E8" w:rsidRDefault="00000000">
      <w:r>
        <w:rPr>
          <w:b/>
          <w:bCs/>
        </w:rPr>
        <w:t>Per conoscenza:</w:t>
      </w:r>
    </w:p>
    <w:p w14:paraId="70AF84C5" w14:textId="7640A738" w:rsidR="00AB52E8" w:rsidRDefault="00000000" w:rsidP="00080EEA">
      <w:pPr>
        <w:pStyle w:val="Paragrafoelenco"/>
        <w:numPr>
          <w:ilvl w:val="0"/>
          <w:numId w:val="2"/>
        </w:numPr>
        <w:ind w:left="426" w:hanging="426"/>
        <w:jc w:val="both"/>
      </w:pPr>
      <w:r>
        <w:t>Comune di Fara Gera d’Adda, Sindaco pro tempore Raffaele Assanelli – PEC: raffaeleassanelli@legalmail.it</w:t>
      </w:r>
    </w:p>
    <w:p w14:paraId="188562EB" w14:textId="5908678A" w:rsidR="00AB52E8" w:rsidRDefault="00000000" w:rsidP="00080EEA">
      <w:pPr>
        <w:pStyle w:val="Paragrafoelenco"/>
        <w:numPr>
          <w:ilvl w:val="0"/>
          <w:numId w:val="2"/>
        </w:numPr>
        <w:ind w:left="426" w:hanging="426"/>
        <w:jc w:val="both"/>
      </w:pPr>
      <w:r>
        <w:t>Comune di Fara Gera d’Adda, Assessore ai Servizi Sociali Giuseppina Modanesi – PEC: giuseppinamodanesi@legalmail.it</w:t>
      </w:r>
    </w:p>
    <w:p w14:paraId="503093D5" w14:textId="21BE8A91" w:rsidR="00AB52E8" w:rsidRDefault="00000000" w:rsidP="00080EEA">
      <w:pPr>
        <w:pStyle w:val="Paragrafoelenco"/>
        <w:numPr>
          <w:ilvl w:val="0"/>
          <w:numId w:val="2"/>
        </w:numPr>
        <w:ind w:left="426" w:hanging="426"/>
        <w:jc w:val="both"/>
      </w:pPr>
      <w:r>
        <w:t>Comune di Fara Gera d’Adda, Responsabile dei Servizi Sociali Dott.ssa Ilaria Domanico – PEC: comune.farageradadda@legalmail.it</w:t>
      </w:r>
    </w:p>
    <w:p w14:paraId="72A430A3" w14:textId="0D68752D" w:rsidR="00AB52E8" w:rsidRDefault="00000000" w:rsidP="00080EEA">
      <w:pPr>
        <w:pStyle w:val="Paragrafoelenco"/>
        <w:numPr>
          <w:ilvl w:val="0"/>
          <w:numId w:val="2"/>
        </w:numPr>
        <w:ind w:left="426" w:hanging="426"/>
        <w:jc w:val="both"/>
      </w:pPr>
      <w:r>
        <w:t>ASST Bergamo Ovest, Direttore Sociale e SC Psichiatria Sud-Ovest, CPS Treviglio, alla c.a. Dott.ssa Valentina Mapelli – PEC: protocollo@pec.asst-bgovest.it</w:t>
      </w:r>
    </w:p>
    <w:p w14:paraId="1FEACA63" w14:textId="5E844AA7" w:rsidR="00AB52E8" w:rsidRDefault="00000000" w:rsidP="00080EEA">
      <w:pPr>
        <w:pStyle w:val="Paragrafoelenco"/>
        <w:numPr>
          <w:ilvl w:val="0"/>
          <w:numId w:val="2"/>
        </w:numPr>
        <w:ind w:left="426" w:hanging="426"/>
        <w:jc w:val="both"/>
      </w:pPr>
      <w:r>
        <w:t>ATS Bergamo – PEC: protocollo@pec.ats-bg.it</w:t>
      </w:r>
    </w:p>
    <w:p w14:paraId="0D630478" w14:textId="77777777" w:rsidR="00AB52E8" w:rsidRDefault="00AB52E8"/>
    <w:p w14:paraId="2AAF3488" w14:textId="77777777" w:rsidR="00AB52E8" w:rsidRDefault="00000000">
      <w:pPr>
        <w:jc w:val="both"/>
      </w:pPr>
      <w:r>
        <w:rPr>
          <w:b/>
          <w:bCs/>
        </w:rPr>
        <w:lastRenderedPageBreak/>
        <w:t>OGGETTO: Memoria di replica e istanza dell’Amministratore di Sostegno – R.G. n. 861/2024 V.G. – Udienza del 3 luglio 2026, ore 12:15 – Amministrazione di Sostegno di Walter Andrea Colnaghi (n. 5 gennaio 1959): i) replica all’istanza del Comune di Fara Gera d’Adda Prot. n. 7011 del 18 maggio 2026, depositata in atti il 20 maggio 2026 (Ist. n. 7); ii) ribadimento e specificazione delle richieste già formulate con relazione del 27 aprile 2026; iii) sollecitazione dei provvedimenti istituzionali di competenza in vista della scadenza del 16 luglio 2026.</w:t>
      </w:r>
    </w:p>
    <w:p w14:paraId="1E7EFD15" w14:textId="77777777" w:rsidR="00AB52E8" w:rsidRDefault="00AB52E8"/>
    <w:p w14:paraId="08BFC089" w14:textId="77777777" w:rsidR="00AB52E8" w:rsidRDefault="00000000">
      <w:pPr>
        <w:jc w:val="both"/>
      </w:pPr>
      <w:r>
        <w:rPr>
          <w:b/>
          <w:bCs/>
        </w:rPr>
        <w:t>Ill.mo Giudice Tutelare,</w:t>
      </w:r>
    </w:p>
    <w:p w14:paraId="3F49FA32" w14:textId="77777777" w:rsidR="00AB52E8" w:rsidRDefault="00AB52E8"/>
    <w:p w14:paraId="1410335F" w14:textId="77777777" w:rsidR="00AB52E8" w:rsidRDefault="00000000">
      <w:pPr>
        <w:jc w:val="both"/>
      </w:pPr>
      <w:r>
        <w:t xml:space="preserve">la sottoscritta </w:t>
      </w:r>
      <w:r>
        <w:rPr>
          <w:b/>
          <w:bCs/>
        </w:rPr>
        <w:t>Prof.ssa Alice Melocchi</w:t>
      </w:r>
      <w:r>
        <w:t xml:space="preserve">, nipote e Amministratore di Sostegno del sig. </w:t>
      </w:r>
      <w:r>
        <w:rPr>
          <w:b/>
          <w:bCs/>
        </w:rPr>
        <w:t>Walter Andrea Colnaghi</w:t>
      </w:r>
      <w:r>
        <w:t xml:space="preserve">, nominata con decreto del Tribunale di Bergamo, Ufficio del Giudice Tutelare, del 13 maggio 2024 reso nel procedimento R.G. n. 861/2024 V.G. (giuramento reso all’udienza del 7 giugno 2024), assistita dallo Studio Legale Bergamo Legal s.r.l. nella persona dell’Avv. Matteo Bertocchi, con il presente atto deposita memoria di replica e istanza, in vista dell’udienza fissata da codesto Ill.mo Ufficio, con decreto del 24 maggio 2026, per il giorno 3 luglio 2026 ore 12:15, al fine di </w:t>
      </w:r>
      <w:r>
        <w:rPr>
          <w:i/>
          <w:iCs/>
        </w:rPr>
        <w:t>i)</w:t>
      </w:r>
      <w:r>
        <w:t xml:space="preserve"> replicare all’istanza del Comune di Fara Gera d’Adda Prot. n. 7011 del 18 maggio 2026 (Ist. n. 7 </w:t>
      </w:r>
      <w:proofErr w:type="spellStart"/>
      <w:r>
        <w:t>dep</w:t>
      </w:r>
      <w:proofErr w:type="spellEnd"/>
      <w:r>
        <w:t xml:space="preserve">. 20 maggio 2026) e </w:t>
      </w:r>
      <w:r>
        <w:rPr>
          <w:i/>
          <w:iCs/>
        </w:rPr>
        <w:t>ii)</w:t>
      </w:r>
      <w:r>
        <w:t xml:space="preserve"> ribadire e ulteriormente specificare le richieste già rassegnate con la relazione urgente del 27 aprile 2026, alla luce dell’imminenza della scadenza del 16 luglio 2026 per la dimissione del beneficiario dalla struttura ospitante.</w:t>
      </w:r>
    </w:p>
    <w:p w14:paraId="4C8F89DE" w14:textId="77777777" w:rsidR="00AB52E8" w:rsidRDefault="00AB52E8"/>
    <w:p w14:paraId="39A8F8FE" w14:textId="77777777" w:rsidR="00AB52E8" w:rsidRPr="00080EEA" w:rsidRDefault="00000000">
      <w:pPr>
        <w:jc w:val="both"/>
        <w:rPr>
          <w:sz w:val="28"/>
          <w:szCs w:val="28"/>
        </w:rPr>
      </w:pPr>
      <w:r>
        <w:rPr>
          <w:b/>
          <w:bCs/>
          <w:sz w:val="28"/>
          <w:szCs w:val="28"/>
        </w:rPr>
        <w:t>Premessa di metodo</w:t>
      </w:r>
    </w:p>
    <w:p w14:paraId="2264FEF8" w14:textId="55F5F12B" w:rsidR="00AB52E8" w:rsidRDefault="00000000">
      <w:pPr>
        <w:jc w:val="both"/>
      </w:pPr>
      <w:r>
        <w:t>Si rappresenta, con la dovuta deferenza, che la posizione dell’Amministratore di Sostegno (</w:t>
      </w:r>
      <w:proofErr w:type="spellStart"/>
      <w:r>
        <w:t>AdS</w:t>
      </w:r>
      <w:proofErr w:type="spellEnd"/>
      <w:r>
        <w:t>) non è antagonistica rispetto ai Servizi sociali e sanitari, dei quali condivide la finalità di tutela del beneficiario. La presente memoria espone soltanto una diversa lettura delle rispettive competenze: mentre la documentazione versata in atti - e segnatamente la comunicazione del 3 aprile 2026, rimasta priva di rilievi nei termini all’uopo assegnati (</w:t>
      </w:r>
      <w:r>
        <w:rPr>
          <w:b/>
          <w:bCs/>
        </w:rPr>
        <w:t>All. 1 alla relazione del 27 aprile 2026</w:t>
      </w:r>
      <w:r>
        <w:t xml:space="preserve">) - testimonia l’attivazione costante </w:t>
      </w:r>
      <w:proofErr w:type="spellStart"/>
      <w:r>
        <w:t>dell’AdS</w:t>
      </w:r>
      <w:proofErr w:type="spellEnd"/>
      <w:r>
        <w:t xml:space="preserve"> nell’interesse esclusivo del sig. Colnaghi, l’istanza promossa dal Comune di Fara Gera d’Adda muove dall’assunto, qui contestato, secondo cui gli obblighi istituzionali in materia di progettazione individuale e di programmazione dei servizi residenziali - facenti capo, </w:t>
      </w:r>
      <w:r>
        <w:rPr>
          <w:i/>
          <w:iCs/>
        </w:rPr>
        <w:t>ex lege</w:t>
      </w:r>
      <w:r>
        <w:t>, all’Ente locale e all’ASST competente - potrebbero essere trasferiti integralmente in capo alla professionista nominata dal Tribunale. Si confida che codesto Ill.mo Giudice Tutelare vorrà restituire alla vicenda la sua corretta ripartizione di responsabilità, nel preminente interesse del beneficiario.</w:t>
      </w:r>
    </w:p>
    <w:p w14:paraId="179629A4" w14:textId="77777777" w:rsidR="00AB52E8" w:rsidRDefault="00AB52E8"/>
    <w:p w14:paraId="76C83F3C" w14:textId="77777777" w:rsidR="00AB52E8" w:rsidRDefault="00000000">
      <w:pPr>
        <w:jc w:val="both"/>
      </w:pPr>
      <w:r>
        <w:t xml:space="preserve">Per quanto sin qui sinteticamente esposto, e come verrà puntualmente illustrato nei paragrafi che seguono, l’attività diligente esigibile </w:t>
      </w:r>
      <w:proofErr w:type="spellStart"/>
      <w:r>
        <w:t>dall’AdS</w:t>
      </w:r>
      <w:proofErr w:type="spellEnd"/>
      <w:r>
        <w:t xml:space="preserve"> deve intendersi compiuta, sicché ogni ulteriore conseguenza connessa all’eventuale mancata definizione di un percorso assistenziale </w:t>
      </w:r>
      <w:r>
        <w:lastRenderedPageBreak/>
        <w:t>entro la data di dimissione resta integralmente ascrivibile ai soggetti istituzionalmente competenti.</w:t>
      </w:r>
    </w:p>
    <w:p w14:paraId="7B2EC5A6" w14:textId="77777777" w:rsidR="00AB52E8" w:rsidRDefault="00AB52E8"/>
    <w:p w14:paraId="4C615E06" w14:textId="77777777" w:rsidR="00AB52E8" w:rsidRDefault="00000000">
      <w:pPr>
        <w:jc w:val="center"/>
      </w:pPr>
      <w:r>
        <w:rPr>
          <w:b/>
          <w:bCs/>
        </w:rPr>
        <w:t>IN FATTO</w:t>
      </w:r>
    </w:p>
    <w:p w14:paraId="4E60FB99" w14:textId="77777777" w:rsidR="00AB52E8" w:rsidRPr="00080EEA" w:rsidRDefault="00000000">
      <w:pPr>
        <w:spacing w:before="240"/>
        <w:jc w:val="both"/>
        <w:rPr>
          <w:sz w:val="28"/>
          <w:szCs w:val="28"/>
        </w:rPr>
      </w:pPr>
      <w:r>
        <w:rPr>
          <w:b/>
          <w:bCs/>
          <w:sz w:val="28"/>
          <w:szCs w:val="28"/>
        </w:rPr>
        <w:t>1. Lo stato del procedimento e l’istanza del Comune di Fara Gera d’Adda</w:t>
      </w:r>
    </w:p>
    <w:p w14:paraId="79A0FA3D" w14:textId="431E914A" w:rsidR="00AB52E8" w:rsidRDefault="00000000">
      <w:pPr>
        <w:jc w:val="both"/>
      </w:pPr>
      <w:r>
        <w:rPr>
          <w:b/>
          <w:bCs/>
        </w:rPr>
        <w:t xml:space="preserve">1.1. </w:t>
      </w:r>
      <w:r>
        <w:t xml:space="preserve">Con relazione urgente del 27 aprile 2026, depositata presso codesto Ill.mo Ufficio (cui si fa integrale rinvio: </w:t>
      </w:r>
      <w:r>
        <w:rPr>
          <w:b/>
          <w:bCs/>
        </w:rPr>
        <w:t>All. 1</w:t>
      </w:r>
      <w:r>
        <w:t xml:space="preserve">), </w:t>
      </w:r>
      <w:proofErr w:type="spellStart"/>
      <w:r>
        <w:t>l’AdS</w:t>
      </w:r>
      <w:proofErr w:type="spellEnd"/>
      <w:r>
        <w:t xml:space="preserve"> ha rappresentato la situazione di urgenza assistenziale conseguente all’imminente dimissione del beneficiario dalla Comunità Santa Marta del Centro di Riabilitazione Sant’Ambrogio – Fatebenefratelli di Cernusco sul Naviglio, prevista per il 16 luglio 2026, in assenza di qualsivoglia piano assistenziale alternativo formalizzato dai soggetti istituzionalmente responsabili.</w:t>
      </w:r>
    </w:p>
    <w:p w14:paraId="2FACF850" w14:textId="77777777" w:rsidR="00AB52E8" w:rsidRDefault="00000000">
      <w:pPr>
        <w:jc w:val="both"/>
      </w:pPr>
      <w:r>
        <w:rPr>
          <w:b/>
          <w:bCs/>
        </w:rPr>
        <w:t xml:space="preserve">1.2. </w:t>
      </w:r>
      <w:r>
        <w:t>Con istanza Prot. n. 7011 del 18 maggio 2026, depositata in atti in data 20 maggio 2026 e iscritta sub Ist. n. 7 del procedimento, il Comune di Fara Gera d’Adda, in persona del Vicesegretario Comunale Dott.ssa Ilaria Giorgia Domanico (la quale al contempo riveste la qualifica di Responsabile dei Servizi Sociali e ha personalmente partecipato alla riunione del 30 marzo 2026), si è rivolto all’Ufficio del Giudice Tutelare con atto recante in oggetto «</w:t>
      </w:r>
      <w:r>
        <w:rPr>
          <w:i/>
          <w:iCs/>
        </w:rPr>
        <w:t>Richiesta di un suo intervento in merito all’amministrazione del Sig. COLNAGHI WALTER (o WALTER ANDREA). Inadempienze dell’Amministratore di sostegno. Urgenza di collocamento in struttura idonea</w:t>
      </w:r>
      <w:r>
        <w:t>» (</w:t>
      </w:r>
      <w:r>
        <w:rPr>
          <w:b/>
          <w:bCs/>
        </w:rPr>
        <w:t>All. 2</w:t>
      </w:r>
      <w:r>
        <w:t>).</w:t>
      </w:r>
    </w:p>
    <w:p w14:paraId="19BEDC2C" w14:textId="77777777" w:rsidR="00AB52E8" w:rsidRDefault="00000000">
      <w:pPr>
        <w:jc w:val="both"/>
      </w:pPr>
      <w:r>
        <w:rPr>
          <w:b/>
          <w:bCs/>
        </w:rPr>
        <w:t xml:space="preserve">1.3. </w:t>
      </w:r>
      <w:r>
        <w:t xml:space="preserve">L’istanza comunale, pur formalmente rivolta a sollecitare un intervento del G.T., formula nei confronti </w:t>
      </w:r>
      <w:proofErr w:type="spellStart"/>
      <w:r>
        <w:t>dell’AdS</w:t>
      </w:r>
      <w:proofErr w:type="spellEnd"/>
      <w:r>
        <w:t xml:space="preserve"> un’accusa di «</w:t>
      </w:r>
      <w:r>
        <w:rPr>
          <w:i/>
          <w:iCs/>
        </w:rPr>
        <w:t>inerzia</w:t>
      </w:r>
      <w:r>
        <w:t xml:space="preserve">» nella ricerca della collocazione residenziale e nella mancata sottoscrizione del modulo di ricovero di sollievo. Tale accusa è, come si dimostrerà nei paragrafi che seguono, smentita </w:t>
      </w:r>
      <w:r>
        <w:rPr>
          <w:i/>
          <w:iCs/>
        </w:rPr>
        <w:t xml:space="preserve">per </w:t>
      </w:r>
      <w:proofErr w:type="spellStart"/>
      <w:r>
        <w:rPr>
          <w:i/>
          <w:iCs/>
        </w:rPr>
        <w:t>tabulas</w:t>
      </w:r>
      <w:proofErr w:type="spellEnd"/>
      <w:r>
        <w:t xml:space="preserve"> dalla documentazione e dalla cronologia dell’attività </w:t>
      </w:r>
      <w:proofErr w:type="spellStart"/>
      <w:r>
        <w:t>dell’AdS</w:t>
      </w:r>
      <w:proofErr w:type="spellEnd"/>
      <w:r>
        <w:t xml:space="preserve"> dal momento del suo insediamento ad oggi, e si fonda </w:t>
      </w:r>
      <w:proofErr w:type="spellStart"/>
      <w:r>
        <w:t xml:space="preserve">su </w:t>
      </w:r>
      <w:r>
        <w:rPr>
          <w:i/>
          <w:iCs/>
        </w:rPr>
        <w:t>i</w:t>
      </w:r>
      <w:proofErr w:type="spellEnd"/>
      <w:r>
        <w:rPr>
          <w:i/>
          <w:iCs/>
        </w:rPr>
        <w:t>)</w:t>
      </w:r>
      <w:r>
        <w:t xml:space="preserve"> la lettura strumentale di una clausola del decreto di nomina; </w:t>
      </w:r>
      <w:r>
        <w:rPr>
          <w:i/>
          <w:iCs/>
        </w:rPr>
        <w:t>ii)</w:t>
      </w:r>
      <w:r>
        <w:t xml:space="preserve"> il silenzio sulle iniziative effettivamente assunte </w:t>
      </w:r>
      <w:proofErr w:type="spellStart"/>
      <w:r>
        <w:t>dall’AdS</w:t>
      </w:r>
      <w:proofErr w:type="spellEnd"/>
      <w:r>
        <w:t xml:space="preserve">, peraltro tempestivamente comunicate ai servizi nei mesi precedenti; </w:t>
      </w:r>
      <w:r>
        <w:rPr>
          <w:i/>
          <w:iCs/>
        </w:rPr>
        <w:t>iii)</w:t>
      </w:r>
      <w:r>
        <w:t xml:space="preserve"> la pretermissione del quadro normativo che attribuisce la competenza alla pianificazione del percorso assistenziale ai servizi sanitari e sociali, non </w:t>
      </w:r>
      <w:proofErr w:type="spellStart"/>
      <w:r>
        <w:t>all’AdS</w:t>
      </w:r>
      <w:proofErr w:type="spellEnd"/>
      <w:r>
        <w:t>.</w:t>
      </w:r>
    </w:p>
    <w:p w14:paraId="47C1BB4B" w14:textId="77777777" w:rsidR="00080EEA" w:rsidRDefault="00080EEA">
      <w:pPr>
        <w:spacing w:before="240"/>
        <w:jc w:val="both"/>
        <w:rPr>
          <w:b/>
          <w:bCs/>
        </w:rPr>
      </w:pPr>
    </w:p>
    <w:p w14:paraId="4A1145EC" w14:textId="38344181" w:rsidR="00AB52E8" w:rsidRPr="00080EEA" w:rsidRDefault="00000000">
      <w:pPr>
        <w:spacing w:before="240"/>
        <w:jc w:val="both"/>
        <w:rPr>
          <w:sz w:val="28"/>
          <w:szCs w:val="28"/>
        </w:rPr>
      </w:pPr>
      <w:r>
        <w:rPr>
          <w:b/>
          <w:bCs/>
          <w:sz w:val="28"/>
          <w:szCs w:val="28"/>
        </w:rPr>
        <w:t>2. Le ammissioni qualificate contenute nell’istanza comunale</w:t>
      </w:r>
    </w:p>
    <w:p w14:paraId="13B44295" w14:textId="77777777" w:rsidR="00AB52E8" w:rsidRDefault="00000000">
      <w:pPr>
        <w:jc w:val="both"/>
      </w:pPr>
      <w:r>
        <w:t xml:space="preserve">L’istanza Prot. n. 7011/2026, pur nel suo tenore accusatorio, contiene una serie di ammissioni </w:t>
      </w:r>
      <w:r>
        <w:rPr>
          <w:i/>
          <w:iCs/>
        </w:rPr>
        <w:t>contra se</w:t>
      </w:r>
      <w:r>
        <w:t xml:space="preserve"> che è opportuno rappresentare a codesto Ill.mo Ufficio in forma sintetica, ai fini della valutazione complessiva della posizione del Comune.</w:t>
      </w:r>
    </w:p>
    <w:p w14:paraId="056B0B6D" w14:textId="77777777" w:rsidR="00AB52E8" w:rsidRDefault="00000000">
      <w:pPr>
        <w:jc w:val="both"/>
      </w:pPr>
      <w:r>
        <w:rPr>
          <w:b/>
          <w:bCs/>
        </w:rPr>
        <w:t>2.1. Conferma della riunione del 30 marzo 2026 e del memorandum presentato.</w:t>
      </w:r>
      <w:r>
        <w:t xml:space="preserve"> Il Comune, a pag. 2 della propria istanza, dà atto che «</w:t>
      </w:r>
      <w:r>
        <w:rPr>
          <w:i/>
          <w:iCs/>
        </w:rPr>
        <w:t>promuoviamo, pertanto, un incontro in data 30 marzo […]; all’incontro l’</w:t>
      </w:r>
      <w:proofErr w:type="spellStart"/>
      <w:r>
        <w:rPr>
          <w:i/>
          <w:iCs/>
        </w:rPr>
        <w:t>A.d.S</w:t>
      </w:r>
      <w:proofErr w:type="spellEnd"/>
      <w:r>
        <w:rPr>
          <w:i/>
          <w:iCs/>
        </w:rPr>
        <w:t>. si presenta con due Avvocati dello studio Bergamo Legal s.r.l., che presentano un memorandum, con successiva verbalizzazione inviata via mail (allegati)</w:t>
      </w:r>
      <w:r>
        <w:t xml:space="preserve">». Conferma quindi, in via documentale, la circostanza fattuale dalla quale discende l’effetto di </w:t>
      </w:r>
      <w:r>
        <w:lastRenderedPageBreak/>
        <w:t>cristallizzazione dei contenuti per acquiescenza qualificata (</w:t>
      </w:r>
      <w:r>
        <w:rPr>
          <w:b/>
          <w:bCs/>
        </w:rPr>
        <w:t>All. 1 alla relazione del 27 aprile 2026</w:t>
      </w:r>
      <w:r>
        <w:t>), senza muovere alcuna contestazione né allora né con l’istanza in esame.</w:t>
      </w:r>
    </w:p>
    <w:p w14:paraId="76A1F809" w14:textId="77777777" w:rsidR="00AB52E8" w:rsidRDefault="00000000">
      <w:pPr>
        <w:jc w:val="both"/>
      </w:pPr>
      <w:r>
        <w:rPr>
          <w:b/>
          <w:bCs/>
        </w:rPr>
        <w:t>2.2. Conferma del ricevimento dell’istanza ex art. 14 L. 8 novembre 2000, n. 328 e mancata predisposizione del progetto individuale.</w:t>
      </w:r>
      <w:r>
        <w:t xml:space="preserve"> Il Comune, sempre a pag. 2, dà atto di aver ricevuto «</w:t>
      </w:r>
      <w:r>
        <w:rPr>
          <w:i/>
          <w:iCs/>
        </w:rPr>
        <w:t>con nota recepita in atti in data 28/04/2026 n. 6042 di Prot. […] istanza di attivazione del procedimento di predisposizione del progetto individuale ex art. 14, Legge n. 328/2000 in favore del Sig. Walter Andrea Colnaghi</w:t>
      </w:r>
      <w:r>
        <w:t>» e di averla sostanzialmente disattesa, affermando che «</w:t>
      </w:r>
      <w:r>
        <w:rPr>
          <w:i/>
          <w:iCs/>
        </w:rPr>
        <w:t>di fatto però non c’è alcun progetto da predisporre, bensì il collocamento […] in una struttura residenziale</w:t>
      </w:r>
      <w:r>
        <w:t xml:space="preserve">». Tale risposta integra </w:t>
      </w:r>
      <w:r>
        <w:rPr>
          <w:i/>
          <w:iCs/>
        </w:rPr>
        <w:t>i)</w:t>
      </w:r>
      <w:r>
        <w:t xml:space="preserve"> una espressa ammissione del ricevimento dell’istanza di attivazione e </w:t>
      </w:r>
      <w:r>
        <w:rPr>
          <w:i/>
          <w:iCs/>
        </w:rPr>
        <w:t>ii)</w:t>
      </w:r>
      <w:r>
        <w:t xml:space="preserve"> una motivazione di rigetto giuridicamente inconsistente, sulla quale si tornerà in diritto.</w:t>
      </w:r>
    </w:p>
    <w:p w14:paraId="3EB56E40" w14:textId="77777777" w:rsidR="00AB52E8" w:rsidRDefault="00000000">
      <w:pPr>
        <w:jc w:val="both"/>
      </w:pPr>
      <w:r>
        <w:rPr>
          <w:b/>
          <w:bCs/>
        </w:rPr>
        <w:t>2.3. Conferma della tempistica della graduatoria RSA «Anni Sereni» e della conseguente non disponibilità nel breve termine.</w:t>
      </w:r>
      <w:r>
        <w:t xml:space="preserve"> Il Comune, sempre a pag. 2, ammette che alla data del 3 febbraio 2026 il beneficiario «</w:t>
      </w:r>
      <w:r>
        <w:rPr>
          <w:i/>
          <w:iCs/>
        </w:rPr>
        <w:t>si colloca al 5° posto in graduatoria, visto che generalmente e statisticamente in un anno solare si scorre la graduatoria per 2 unità si fa presente che l’ingresso potrebbe avvenire tra un anno e mezzo/due anni</w:t>
      </w:r>
      <w:r>
        <w:t xml:space="preserve">». Tale ammissione costituisce conferma documentale </w:t>
      </w:r>
      <w:r>
        <w:rPr>
          <w:i/>
          <w:iCs/>
        </w:rPr>
        <w:t>i)</w:t>
      </w:r>
      <w:r>
        <w:t xml:space="preserve"> della oggettiva impossibilità di un ingresso definitivo entro il 16 luglio 2026 e </w:t>
      </w:r>
      <w:r>
        <w:rPr>
          <w:i/>
          <w:iCs/>
        </w:rPr>
        <w:t>ii)</w:t>
      </w:r>
      <w:r>
        <w:t xml:space="preserve"> della conseguente necessità di un’azione istituzionale coordinata e immediata, ben oltre la mera presentazione di nuove istanze.</w:t>
      </w:r>
    </w:p>
    <w:p w14:paraId="51536630" w14:textId="0B247B6C" w:rsidR="00AB52E8" w:rsidRDefault="00000000">
      <w:pPr>
        <w:jc w:val="both"/>
      </w:pPr>
      <w:r>
        <w:rPr>
          <w:b/>
          <w:bCs/>
        </w:rPr>
        <w:t xml:space="preserve">2.4. Dichiarazione di non </w:t>
      </w:r>
      <w:proofErr w:type="spellStart"/>
      <w:r>
        <w:rPr>
          <w:b/>
          <w:bCs/>
        </w:rPr>
        <w:t>attivabilità</w:t>
      </w:r>
      <w:proofErr w:type="spellEnd"/>
      <w:r>
        <w:rPr>
          <w:b/>
          <w:bCs/>
        </w:rPr>
        <w:t xml:space="preserve"> del Comune.</w:t>
      </w:r>
      <w:r>
        <w:t xml:space="preserve"> Il Comune, a pag. 3 della propria istanza, espressamente dichiara: «</w:t>
      </w:r>
      <w:r>
        <w:rPr>
          <w:i/>
          <w:iCs/>
        </w:rPr>
        <w:t>Non avendo potere di rappresentanza codesto servizio non può presentare richieste di ingresso e attivarsi nella richiesta di disponibilità di strutture se non per quanto già fatto e/o proposto</w:t>
      </w:r>
      <w:r>
        <w:t xml:space="preserve">». Tale formulazione integra dichiarazione confessoria di astensione del Comune dalla propria funzione di co-progettazione </w:t>
      </w:r>
      <w:r>
        <w:rPr>
          <w:i/>
          <w:iCs/>
        </w:rPr>
        <w:t>ex</w:t>
      </w:r>
      <w:r>
        <w:t xml:space="preserve"> artt. 14 e 22 L. 328/2000, fondata sull’erroneo presupposto che l’esercizio di tale funzione pubblicistica richiederebbe il «</w:t>
      </w:r>
      <w:r>
        <w:rPr>
          <w:i/>
          <w:iCs/>
        </w:rPr>
        <w:t>potere di rappresentanza</w:t>
      </w:r>
      <w:r>
        <w:t xml:space="preserve">» del beneficiario - figura giuridica del tutto estranea, </w:t>
      </w:r>
      <w:r>
        <w:rPr>
          <w:i/>
          <w:iCs/>
        </w:rPr>
        <w:t>ratione materiae</w:t>
      </w:r>
      <w:r>
        <w:t>, alle competenze del Comune in materia di servizi sociali.</w:t>
      </w:r>
    </w:p>
    <w:p w14:paraId="07843095" w14:textId="3A7D7999" w:rsidR="00AB52E8" w:rsidRDefault="00000000">
      <w:pPr>
        <w:jc w:val="both"/>
      </w:pPr>
      <w:r>
        <w:rPr>
          <w:b/>
          <w:bCs/>
        </w:rPr>
        <w:t>2.5. Riferimento al «danno erariale».</w:t>
      </w:r>
      <w:r>
        <w:t xml:space="preserve"> Il Comune chiude la propria istanza adombrando un possibile «</w:t>
      </w:r>
      <w:r>
        <w:rPr>
          <w:i/>
          <w:iCs/>
        </w:rPr>
        <w:t>danno erariale</w:t>
      </w:r>
      <w:r>
        <w:t xml:space="preserve">». La scrivente si riserva ogni più ampia valutazione, anche sotto il profilo della legittimazione del Comune a sollevare una simile questione dinanzi al Giudice Tutelare – competente sul governo della misura di protezione e non sulla responsabilità erariale, riservata alla Corte dei Conti - e considerato che ogni eventuale danno derivante dal protrarsi della permanenza in struttura sanitaria è eziologicamente riconducibile, </w:t>
      </w:r>
      <w:r>
        <w:rPr>
          <w:i/>
          <w:iCs/>
        </w:rPr>
        <w:t>in primis</w:t>
      </w:r>
      <w:r>
        <w:t xml:space="preserve">, alla mancata attivazione del procedimento di co-progettazione </w:t>
      </w:r>
      <w:r>
        <w:rPr>
          <w:i/>
          <w:iCs/>
        </w:rPr>
        <w:t>ex</w:t>
      </w:r>
      <w:r>
        <w:t xml:space="preserve"> art. 14 L. 328/2000, sulla quale ricade la responsabilità istituzionale dell’Ente locale.</w:t>
      </w:r>
    </w:p>
    <w:p w14:paraId="345CD31D" w14:textId="77777777" w:rsidR="00080EEA" w:rsidRDefault="00080EEA">
      <w:pPr>
        <w:spacing w:before="240"/>
        <w:jc w:val="both"/>
        <w:rPr>
          <w:b/>
          <w:bCs/>
        </w:rPr>
      </w:pPr>
    </w:p>
    <w:p w14:paraId="7548823E" w14:textId="378DF3FF" w:rsidR="00AB52E8" w:rsidRPr="00080EEA" w:rsidRDefault="00000000">
      <w:pPr>
        <w:spacing w:before="240"/>
        <w:jc w:val="both"/>
        <w:rPr>
          <w:sz w:val="28"/>
          <w:szCs w:val="28"/>
        </w:rPr>
      </w:pPr>
      <w:r>
        <w:rPr>
          <w:b/>
          <w:bCs/>
          <w:sz w:val="28"/>
          <w:szCs w:val="28"/>
        </w:rPr>
        <w:t xml:space="preserve">3. La cronologia dell’attività diligente </w:t>
      </w:r>
      <w:proofErr w:type="spellStart"/>
      <w:r>
        <w:rPr>
          <w:b/>
          <w:bCs/>
          <w:sz w:val="28"/>
          <w:szCs w:val="28"/>
        </w:rPr>
        <w:t>dell’AdS</w:t>
      </w:r>
      <w:proofErr w:type="spellEnd"/>
      <w:r>
        <w:rPr>
          <w:b/>
          <w:bCs/>
          <w:sz w:val="28"/>
          <w:szCs w:val="28"/>
        </w:rPr>
        <w:t xml:space="preserve"> - smentita </w:t>
      </w:r>
      <w:r>
        <w:rPr>
          <w:b/>
          <w:bCs/>
          <w:i/>
          <w:iCs/>
          <w:sz w:val="28"/>
          <w:szCs w:val="28"/>
        </w:rPr>
        <w:t xml:space="preserve">per </w:t>
      </w:r>
      <w:proofErr w:type="spellStart"/>
      <w:r>
        <w:rPr>
          <w:b/>
          <w:bCs/>
          <w:i/>
          <w:iCs/>
          <w:sz w:val="28"/>
          <w:szCs w:val="28"/>
        </w:rPr>
        <w:t>tabulas</w:t>
      </w:r>
      <w:proofErr w:type="spellEnd"/>
      <w:r>
        <w:rPr>
          <w:b/>
          <w:bCs/>
          <w:sz w:val="28"/>
          <w:szCs w:val="28"/>
        </w:rPr>
        <w:t xml:space="preserve"> dell’asserita inerzia</w:t>
      </w:r>
    </w:p>
    <w:p w14:paraId="79B9749D" w14:textId="77777777" w:rsidR="00AB52E8" w:rsidRDefault="00000000">
      <w:pPr>
        <w:jc w:val="both"/>
      </w:pPr>
      <w:r>
        <w:t xml:space="preserve">Prima di esporre la sintesi cronologica, è necessario rappresentare a codesto Ill.mo Ufficio un dato di contesto, documentato dalle comunicazioni in atti: i rapporti tra </w:t>
      </w:r>
      <w:proofErr w:type="spellStart"/>
      <w:r>
        <w:t>l’AdS</w:t>
      </w:r>
      <w:proofErr w:type="spellEnd"/>
      <w:r>
        <w:t xml:space="preserve"> e i Servizi Sociali </w:t>
      </w:r>
      <w:r>
        <w:lastRenderedPageBreak/>
        <w:t xml:space="preserve">del Comune di Fara Gera d’Adda — segnatamente nella persona della Responsabile dei Servizi, Dott.ssa Domanico — si sono caratterizzati, sin dall’insediamento, da reiterate omissioni informative, da un riparto delle competenze unilateralmente prospettato dai servizi e da un atteggiamento ricorrentemente teso a trasferire </w:t>
      </w:r>
      <w:proofErr w:type="spellStart"/>
      <w:r>
        <w:t>all’AdS</w:t>
      </w:r>
      <w:proofErr w:type="spellEnd"/>
      <w:r>
        <w:t xml:space="preserve"> oneri istituzionali propri dell’Ente locale. L’istanza Prot. n. 7011/2026 in oggetto si inserisce in tale prospettiva.</w:t>
      </w:r>
    </w:p>
    <w:p w14:paraId="79B9749E" w14:textId="77777777" w:rsidR="00AB52E8" w:rsidRDefault="00000000">
      <w:pPr>
        <w:jc w:val="both"/>
      </w:pPr>
      <w:r>
        <w:t xml:space="preserve">Allo scopo di consentire a codesto Ill.mo Ufficio una compiuta valutazione della condotta tenuta </w:t>
      </w:r>
      <w:proofErr w:type="spellStart"/>
      <w:r>
        <w:t>dall’AdS</w:t>
      </w:r>
      <w:proofErr w:type="spellEnd"/>
      <w:r>
        <w:t>, si rappresenta la sintesi cronologica delle iniziative assunte dall’insediamento ad oggi. Le comunicazioni e-mail e gli atti procedimentali richiamati nei paragrafi che seguono sono custoditi agli atti dello Studio Legale Bergamo Legal e producibili, ove richiesto, in qualsiasi successivo segmento del procedimento.</w:t>
      </w:r>
    </w:p>
    <w:p w14:paraId="5ABBA10C" w14:textId="4DF30B11" w:rsidR="00AB52E8" w:rsidRDefault="00000000">
      <w:pPr>
        <w:jc w:val="both"/>
      </w:pPr>
      <w:r>
        <w:rPr>
          <w:b/>
          <w:bCs/>
        </w:rPr>
        <w:t xml:space="preserve">3.1. La situazione antecedente alla nomina </w:t>
      </w:r>
      <w:proofErr w:type="spellStart"/>
      <w:r>
        <w:rPr>
          <w:b/>
          <w:bCs/>
        </w:rPr>
        <w:t>dell’AdS</w:t>
      </w:r>
      <w:proofErr w:type="spellEnd"/>
      <w:r>
        <w:rPr>
          <w:b/>
          <w:bCs/>
        </w:rPr>
        <w:t>.</w:t>
      </w:r>
      <w:r>
        <w:t xml:space="preserve"> Prima ancora della nomina della scrivente, in data 19 marzo 2024 (Prot. n. 4294 del Comune di Fara Gera d’Adda) era stata presentata istanza di inserimento del sig. Colnaghi presso la RSA «Anni Sereni» di Treviglio, materialmente predisposta - come pacificamente risulta - dall’allora Assistente Sociale del Comune, Dott.ssa Asia Setti, e non, evidentemente, dal beneficiario, all’epoca privo di </w:t>
      </w:r>
      <w:proofErr w:type="spellStart"/>
      <w:r>
        <w:t>AdS</w:t>
      </w:r>
      <w:proofErr w:type="spellEnd"/>
      <w:r>
        <w:t xml:space="preserve">. Si rappresenta tale circostanza affinché sia colto che l’iter di ricerca della collocazione residenziale era già stato avviato dai servizi territoriali prima dell’insediamento della scrivente </w:t>
      </w:r>
      <w:proofErr w:type="spellStart"/>
      <w:r>
        <w:t>AdS</w:t>
      </w:r>
      <w:proofErr w:type="spellEnd"/>
      <w:r>
        <w:t xml:space="preserve">, e non già - come si potrebbe inferire dalla lettura dell’istanza comunale Prot. n. 7011/2026 - su iniziativa </w:t>
      </w:r>
      <w:proofErr w:type="spellStart"/>
      <w:r>
        <w:t>dell’AdS</w:t>
      </w:r>
      <w:proofErr w:type="spellEnd"/>
      <w:r>
        <w:t>.</w:t>
      </w:r>
    </w:p>
    <w:p w14:paraId="6B1E267E" w14:textId="77777777" w:rsidR="00AB52E8" w:rsidRPr="00E36109" w:rsidRDefault="00000000">
      <w:pPr>
        <w:jc w:val="both"/>
      </w:pPr>
      <w:r>
        <w:rPr>
          <w:b/>
          <w:bCs/>
        </w:rPr>
        <w:t>3.2. L’insediamento e la prima tornata di candidature (giugno 2024 – marzo 2025).</w:t>
      </w:r>
      <w:r>
        <w:t xml:space="preserve"> Prestato giuramento all’udienza del 7 giugno 2024, la scrivente si è immediatamente attivata, nei limiti delle facoltà conferite dal decreto di nomina, per la verifica e l’estensione delle candidature del beneficiario presso le strutture residenziali del territorio. Sono state contattate e attivate candidature presso le seguenti RSA: </w:t>
      </w:r>
      <w:r>
        <w:rPr>
          <w:i/>
          <w:iCs/>
        </w:rPr>
        <w:t>i)</w:t>
      </w:r>
      <w:r>
        <w:t xml:space="preserve"> Fondazione Casa di Riposo Spirano ONLUS, Spirano; </w:t>
      </w:r>
      <w:r>
        <w:rPr>
          <w:i/>
          <w:iCs/>
        </w:rPr>
        <w:t>ii)</w:t>
      </w:r>
      <w:r>
        <w:t xml:space="preserve"> Fondazione Cecilia Caccia in Del Negro ONLUS, Gandino; </w:t>
      </w:r>
      <w:r>
        <w:rPr>
          <w:i/>
          <w:iCs/>
        </w:rPr>
        <w:t>iii)</w:t>
      </w:r>
      <w:r>
        <w:t xml:space="preserve"> RSA Papa Giovanni Paolo I, Seriate; </w:t>
      </w:r>
      <w:r>
        <w:rPr>
          <w:i/>
          <w:iCs/>
        </w:rPr>
        <w:t>iv)</w:t>
      </w:r>
      <w:r>
        <w:t xml:space="preserve"> RSA Papa Giovanni XXIII, Trescore Balneario; </w:t>
      </w:r>
      <w:r>
        <w:rPr>
          <w:i/>
          <w:iCs/>
        </w:rPr>
        <w:t>v)</w:t>
      </w:r>
      <w:r>
        <w:t xml:space="preserve"> Casa di Riposo Ovidio Cerruti, Capriate San Gervasio; </w:t>
      </w:r>
      <w:r>
        <w:rPr>
          <w:i/>
          <w:iCs/>
        </w:rPr>
        <w:t>vi)</w:t>
      </w:r>
      <w:r>
        <w:t xml:space="preserve"> Opera Pia Caritas ONLUS – RSA Casa Mons. G. Speranza, Zogno; </w:t>
      </w:r>
      <w:r>
        <w:rPr>
          <w:i/>
          <w:iCs/>
        </w:rPr>
        <w:t>vii)</w:t>
      </w:r>
      <w:r>
        <w:t xml:space="preserve"> Fondazione Domus E.D.E.R.A., Fontanella; </w:t>
      </w:r>
      <w:r>
        <w:rPr>
          <w:i/>
          <w:iCs/>
        </w:rPr>
        <w:t>viii)</w:t>
      </w:r>
      <w:r>
        <w:t xml:space="preserve"> Casa di Riposo Don F. Cremona ONLUS, Palazzolo sull’Oglio; </w:t>
      </w:r>
      <w:r>
        <w:rPr>
          <w:i/>
          <w:iCs/>
        </w:rPr>
        <w:t>ix)</w:t>
      </w:r>
      <w:r>
        <w:t xml:space="preserve"> RSA Casa della Serenità, Cene; </w:t>
      </w:r>
      <w:r>
        <w:rPr>
          <w:i/>
          <w:iCs/>
        </w:rPr>
        <w:t>x)</w:t>
      </w:r>
      <w:r>
        <w:t xml:space="preserve"> Casa di Riposo Caprotti-Zavaritt, Gorle. Si rappresenta che, di tale prima tornata, la Fondazione Casa di Riposo Spirano ONLUS comunicava successivamente la non idoneità del beneficiario all’ingresso.</w:t>
      </w:r>
    </w:p>
    <w:p w14:paraId="7EB7A781" w14:textId="77777777" w:rsidR="00AB52E8" w:rsidRDefault="00000000">
      <w:pPr>
        <w:jc w:val="both"/>
      </w:pPr>
      <w:r>
        <w:rPr>
          <w:b/>
          <w:bCs/>
        </w:rPr>
        <w:t>3.3. La comunicazione del 13 marzo 2025 ai servizi e la presa d’atto del CPS.</w:t>
      </w:r>
      <w:r>
        <w:t xml:space="preserve"> In data 13 marzo 2025 la scrivente </w:t>
      </w:r>
      <w:proofErr w:type="spellStart"/>
      <w:r>
        <w:t>AdS</w:t>
      </w:r>
      <w:proofErr w:type="spellEnd"/>
      <w:r>
        <w:t xml:space="preserve"> trasmetteva, a mezzo posta elettronica, al CPS di Treviglio (Dott.ssa Mapelli) e ai Servizi Sociali del Comune di Fara Gera d’Adda l’elenco aggiornato delle strutture contattate e delle candidature in essere. Nella medesima data, la Dott.ssa Mapelli del CPS, in riscontro alla comunicazione e con messaggio per conoscenza anche all’Assistente Sociale del Centro Fatebenefratelli, Dott.ssa Melis, dava atto del fatto che le candidature attivate </w:t>
      </w:r>
      <w:proofErr w:type="spellStart"/>
      <w:r>
        <w:t>dall’AdS</w:t>
      </w:r>
      <w:proofErr w:type="spellEnd"/>
      <w:r>
        <w:t xml:space="preserve"> costituivano elemento sufficiente a sostenere la richiesta di </w:t>
      </w:r>
      <w:r>
        <w:rPr>
          <w:i/>
          <w:iCs/>
        </w:rPr>
        <w:t>allungamento della permanenza</w:t>
      </w:r>
      <w:r>
        <w:t xml:space="preserve"> del beneficiario presso la struttura ospitante, in attesa dello scorrimento delle graduatorie. La circostanza è documentalmente tracciata nelle comunicazioni del medesimo giorno.</w:t>
      </w:r>
    </w:p>
    <w:p w14:paraId="66A20A41" w14:textId="19344FAA" w:rsidR="00AB52E8" w:rsidRDefault="00000000">
      <w:pPr>
        <w:jc w:val="both"/>
      </w:pPr>
      <w:r>
        <w:rPr>
          <w:b/>
          <w:bCs/>
        </w:rPr>
        <w:lastRenderedPageBreak/>
        <w:t xml:space="preserve">3.4. La vicenda «Anni Sereni»: </w:t>
      </w:r>
      <w:proofErr w:type="spellStart"/>
      <w:r>
        <w:rPr>
          <w:b/>
          <w:bCs/>
        </w:rPr>
        <w:t>l’AdS</w:t>
      </w:r>
      <w:proofErr w:type="spellEnd"/>
      <w:r>
        <w:rPr>
          <w:b/>
          <w:bCs/>
        </w:rPr>
        <w:t xml:space="preserve"> dichiarato non destinataria dell’informazione e l’intervento risolutivo del CPS.</w:t>
      </w:r>
      <w:r>
        <w:t xml:space="preserve"> Già in data 13 febbraio 2025, e dunque prima ancora della comunicazione di cui al precedente paragrafo, la RSA «Anni Sereni» di Treviglio - struttura consorziata con il Comune di Fara Gera d’Adda e con il medesimo CPS, e dunque quella che meglio conosce il quadro clinico del beneficiario in ragione della pluridecennale presa in carico territoriale - comunicava ai servizi la non idoneità del sig. Colnaghi all’ingresso. </w:t>
      </w:r>
      <w:r>
        <w:rPr>
          <w:b/>
          <w:bCs/>
        </w:rPr>
        <w:t xml:space="preserve">Nessuna comunicazione di tale valutazione veniva trasmessa </w:t>
      </w:r>
      <w:proofErr w:type="spellStart"/>
      <w:r>
        <w:rPr>
          <w:b/>
          <w:bCs/>
        </w:rPr>
        <w:t>all’AdS</w:t>
      </w:r>
      <w:proofErr w:type="spellEnd"/>
      <w:r>
        <w:t xml:space="preserve">, la quale ne veniva incidentalmente a conoscenza, in epoca successiva, in occasione di una telefonata intercorsa con l’Assistente Sociale del Comune di Fara Gera d’Adda, Dott.ssa Ilaria Mazzola, la quale, su sollecitazione della scrivente, le inoltrava a quel punto la mail di risposta della RSA. Lo sblocco della situazione e la successiva rivalutazione del beneficiario come idoneo all’ingresso si è reso possibile </w:t>
      </w:r>
      <w:r>
        <w:rPr>
          <w:b/>
          <w:bCs/>
        </w:rPr>
        <w:t>soltanto</w:t>
      </w:r>
      <w:r>
        <w:t xml:space="preserve"> all’esito dell’intervento tecnico del Dr. Adriano Aletti, U.O.C. Psichiatria del CPS di Treviglio, autore della relazione clinica del 16 febbraio 2026 (</w:t>
      </w:r>
      <w:r>
        <w:rPr>
          <w:b/>
          <w:bCs/>
        </w:rPr>
        <w:t>All. 2 alla relazione del 27 aprile 2026</w:t>
      </w:r>
      <w:r>
        <w:t xml:space="preserve">). La circostanza è di per sé eloquente: </w:t>
      </w:r>
      <w:r>
        <w:rPr>
          <w:b/>
          <w:bCs/>
        </w:rPr>
        <w:t>lo sblocco di una situazione di stallo presso una struttura consorziata con il CPS è stato possibile solo per il tramite di un atto tecnico del CPS medesimo</w:t>
      </w:r>
      <w:r>
        <w:t xml:space="preserve">, e cioè di un intervento istituzionale che, per definizione, non è nelle facoltà </w:t>
      </w:r>
      <w:proofErr w:type="spellStart"/>
      <w:r>
        <w:t>dell’AdS</w:t>
      </w:r>
      <w:proofErr w:type="spellEnd"/>
      <w:r>
        <w:t xml:space="preserve"> né del beneficiario in proprio. Ciò conferma plasticamente che </w:t>
      </w:r>
      <w:proofErr w:type="spellStart"/>
      <w:r>
        <w:t>l’AdS</w:t>
      </w:r>
      <w:proofErr w:type="spellEnd"/>
      <w:r>
        <w:t xml:space="preserve">, esauriti gli strumenti di iniziativa privata (contatti diretti, presentazione di domande, sollecitazione dei servizi), non dispone dei canali tecnico-istituzionali idonei a sbloccare situazioni di indisponibilità sistemica, i quali restano </w:t>
      </w:r>
      <w:r>
        <w:rPr>
          <w:i/>
          <w:iCs/>
        </w:rPr>
        <w:t>ex lege</w:t>
      </w:r>
      <w:r>
        <w:t xml:space="preserve"> e in concreto </w:t>
      </w:r>
      <w:r>
        <w:rPr>
          <w:b/>
          <w:bCs/>
        </w:rPr>
        <w:t>nella sfera di competenza esclusiva dei servizi sanitari e sociali</w:t>
      </w:r>
      <w:r>
        <w:t>.</w:t>
      </w:r>
    </w:p>
    <w:p w14:paraId="71704C55" w14:textId="1A900B73" w:rsidR="00AB52E8" w:rsidRDefault="00000000">
      <w:pPr>
        <w:jc w:val="both"/>
      </w:pPr>
      <w:r>
        <w:rPr>
          <w:b/>
          <w:bCs/>
        </w:rPr>
        <w:t>3.5. Il silenzio dei servizi nel periodo 13 marzo 2025 – 9 febbraio 2026.</w:t>
      </w:r>
      <w:r>
        <w:t xml:space="preserve"> Si rappresenta a codesto Ill.mo Ufficio che, nel periodo compreso tra la comunicazione di cui al § 3.3 e il 9 febbraio 2026 - periodo di </w:t>
      </w:r>
      <w:r>
        <w:rPr>
          <w:b/>
          <w:bCs/>
        </w:rPr>
        <w:t>circa undici mesi</w:t>
      </w:r>
      <w:r>
        <w:t xml:space="preserve"> - la scrivente </w:t>
      </w:r>
      <w:proofErr w:type="spellStart"/>
      <w:r>
        <w:t>AdS</w:t>
      </w:r>
      <w:proofErr w:type="spellEnd"/>
      <w:r>
        <w:t xml:space="preserve"> non ha ricevuto alcun riscontro, sollecitazione, aggiornamento o richiesta di interlocuzione da parte dei servizi sociali e sanitari coinvolti, né alcun atto di avvio della procedura di co-progettazione del percorso di dimissione. La narrazione di un’«</w:t>
      </w:r>
      <w:r>
        <w:rPr>
          <w:i/>
          <w:iCs/>
        </w:rPr>
        <w:t>inerzia</w:t>
      </w:r>
      <w:r>
        <w:t xml:space="preserve">» </w:t>
      </w:r>
      <w:proofErr w:type="spellStart"/>
      <w:r>
        <w:t>dell’AdS</w:t>
      </w:r>
      <w:proofErr w:type="spellEnd"/>
      <w:r>
        <w:t>, contenuta nell’istanza del Comune, va dunque letta a fronte del prolungato silenzio istituzionale che ha caratterizzato la condotta dei servizi nel medesimo periodo.</w:t>
      </w:r>
    </w:p>
    <w:p w14:paraId="7C2D4838" w14:textId="5BF8A793" w:rsidR="00AB52E8" w:rsidRDefault="00000000">
      <w:pPr>
        <w:jc w:val="both"/>
      </w:pPr>
      <w:r>
        <w:rPr>
          <w:b/>
          <w:bCs/>
        </w:rPr>
        <w:t>3.6. Lo stato delle candidature al 30 dicembre 2025: documentazione per immagine.</w:t>
      </w:r>
      <w:r>
        <w:t xml:space="preserve"> A definitiva confutazione dell’ipotesi di inerzia, si rappresenta al Giudice Tutelare che, alla data del </w:t>
      </w:r>
      <w:r>
        <w:rPr>
          <w:b/>
          <w:bCs/>
        </w:rPr>
        <w:t>30 dicembre 2025</w:t>
      </w:r>
      <w:r>
        <w:t xml:space="preserve"> - vale a dire all’interno del periodo di silenzio istituzionale di cui al precedente paragrafo - risultavano </w:t>
      </w:r>
      <w:r>
        <w:rPr>
          <w:b/>
          <w:bCs/>
        </w:rPr>
        <w:t>attive e in essere</w:t>
      </w:r>
      <w:r>
        <w:t xml:space="preserve"> le candidature del beneficiario presso </w:t>
      </w:r>
      <w:r>
        <w:rPr>
          <w:b/>
          <w:bCs/>
        </w:rPr>
        <w:t>sedici</w:t>
      </w:r>
      <w:r>
        <w:t xml:space="preserve"> strutture residenziali, come documentato dall’estratto del portale gestionale delle liste di attesa («</w:t>
      </w:r>
      <w:proofErr w:type="spellStart"/>
      <w:r>
        <w:rPr>
          <w:i/>
          <w:iCs/>
        </w:rPr>
        <w:t>WaitingList</w:t>
      </w:r>
      <w:proofErr w:type="spellEnd"/>
      <w:r>
        <w:t xml:space="preserve">») prodotto sub </w:t>
      </w:r>
      <w:r>
        <w:rPr>
          <w:b/>
          <w:bCs/>
        </w:rPr>
        <w:t>All. 3</w:t>
      </w:r>
      <w:r>
        <w:t xml:space="preserve">, recante l’elenco analitico delle RSA e lo stato della richiesta. L’estratto reca </w:t>
      </w:r>
      <w:r>
        <w:rPr>
          <w:i/>
          <w:iCs/>
        </w:rPr>
        <w:t>i)</w:t>
      </w:r>
      <w:r>
        <w:t xml:space="preserve"> Casa di Riposo Caprotti-Zavaritt; </w:t>
      </w:r>
      <w:r>
        <w:rPr>
          <w:i/>
          <w:iCs/>
        </w:rPr>
        <w:t>ii)</w:t>
      </w:r>
      <w:r>
        <w:t xml:space="preserve"> Casa di Riposo Piatti Venanzi – Fondazione ONLUS; </w:t>
      </w:r>
      <w:r>
        <w:rPr>
          <w:i/>
          <w:iCs/>
        </w:rPr>
        <w:t>iii)</w:t>
      </w:r>
      <w:r>
        <w:t xml:space="preserve"> Fondazione Anni Sereni Treviglio, Caravaggio e Fara Gera d’Adda ONLUS; </w:t>
      </w:r>
      <w:r>
        <w:rPr>
          <w:i/>
          <w:iCs/>
        </w:rPr>
        <w:t>iv)</w:t>
      </w:r>
      <w:r>
        <w:t xml:space="preserve"> Fondazione Casa di Riposo Spirano ONLUS; </w:t>
      </w:r>
      <w:r>
        <w:rPr>
          <w:i/>
          <w:iCs/>
        </w:rPr>
        <w:t>v)</w:t>
      </w:r>
      <w:r>
        <w:t xml:space="preserve"> Fondazione Cecilia Caccia in Del Negro ONLUS; </w:t>
      </w:r>
      <w:r>
        <w:rPr>
          <w:i/>
          <w:iCs/>
        </w:rPr>
        <w:t>vi)</w:t>
      </w:r>
      <w:r>
        <w:t xml:space="preserve"> Fondazione Domus E.D.E.R.A.; </w:t>
      </w:r>
      <w:r>
        <w:rPr>
          <w:i/>
          <w:iCs/>
        </w:rPr>
        <w:t>vii)</w:t>
      </w:r>
      <w:r>
        <w:t xml:space="preserve"> Fondazione Don Ciriaco Vezzoli ONLUS; </w:t>
      </w:r>
      <w:r>
        <w:rPr>
          <w:i/>
          <w:iCs/>
        </w:rPr>
        <w:t>viii)</w:t>
      </w:r>
      <w:r>
        <w:t xml:space="preserve"> Fondazione Martino Zanchi ONLUS – RSA; </w:t>
      </w:r>
      <w:r>
        <w:rPr>
          <w:i/>
          <w:iCs/>
        </w:rPr>
        <w:t>ix)</w:t>
      </w:r>
      <w:r>
        <w:t xml:space="preserve"> Fondazione Piero Piccinelli – Casa Maria Consolatrice ONLUS; </w:t>
      </w:r>
      <w:r>
        <w:rPr>
          <w:i/>
          <w:iCs/>
        </w:rPr>
        <w:t>x)</w:t>
      </w:r>
      <w:r>
        <w:t xml:space="preserve"> Fondazione RSA Casa di Riposo Nembro ONLUS; </w:t>
      </w:r>
      <w:r>
        <w:rPr>
          <w:i/>
          <w:iCs/>
        </w:rPr>
        <w:t>xi)</w:t>
      </w:r>
      <w:r>
        <w:t xml:space="preserve"> Opera Pia Caritas – ONLUS RSA Casa Santa Maria; </w:t>
      </w:r>
      <w:r>
        <w:rPr>
          <w:i/>
          <w:iCs/>
        </w:rPr>
        <w:t>xii)</w:t>
      </w:r>
      <w:r>
        <w:t xml:space="preserve"> Opera Pia Olmo ONLUS; </w:t>
      </w:r>
      <w:r>
        <w:rPr>
          <w:i/>
          <w:iCs/>
        </w:rPr>
        <w:t>xiii)</w:t>
      </w:r>
      <w:r>
        <w:t xml:space="preserve"> RSA Casa della Serenità; </w:t>
      </w:r>
      <w:r>
        <w:rPr>
          <w:i/>
          <w:iCs/>
        </w:rPr>
        <w:t>xiv)</w:t>
      </w:r>
      <w:r>
        <w:t xml:space="preserve"> RSA Casa di Riposo Ovidio Cerruti; </w:t>
      </w:r>
      <w:r>
        <w:rPr>
          <w:i/>
          <w:iCs/>
        </w:rPr>
        <w:t>xv)</w:t>
      </w:r>
      <w:r>
        <w:t xml:space="preserve"> RSA Papa Giovanni Paolo I; </w:t>
      </w:r>
      <w:r>
        <w:rPr>
          <w:i/>
          <w:iCs/>
        </w:rPr>
        <w:lastRenderedPageBreak/>
        <w:t>xvi)</w:t>
      </w:r>
      <w:r>
        <w:t xml:space="preserve"> RSA Papa Giovanni XXIII. Il documento è prova oggettiva, refrattaria a ogni qualificazione interpretativa, del fatto che le candidature del beneficiario erano correntemente attive e tracciate nel sistema gestionale regionale anche durante il periodo nel quale i servizi non hanno mantenuto interlocuzione con </w:t>
      </w:r>
      <w:proofErr w:type="spellStart"/>
      <w:r>
        <w:t>l’AdS</w:t>
      </w:r>
      <w:proofErr w:type="spellEnd"/>
      <w:r>
        <w:t>.</w:t>
      </w:r>
    </w:p>
    <w:p w14:paraId="7038898C" w14:textId="77777777" w:rsidR="00AB52E8" w:rsidRDefault="00000000">
      <w:pPr>
        <w:jc w:val="both"/>
      </w:pPr>
      <w:r>
        <w:rPr>
          <w:b/>
          <w:bCs/>
        </w:rPr>
        <w:t>3.7. La ripresa di contatto del 9 febbraio 2026 e la seconda tornata di candidature.</w:t>
      </w:r>
      <w:r>
        <w:t xml:space="preserve"> In data 9 febbraio 2026, l’Assistente Sociale del Comune di Fara Gera d’Adda contattava telefonicamente la scrivente </w:t>
      </w:r>
      <w:proofErr w:type="spellStart"/>
      <w:r>
        <w:t>AdS</w:t>
      </w:r>
      <w:proofErr w:type="spellEnd"/>
      <w:r>
        <w:t xml:space="preserve"> richiedendo aggiornamenti sulla situazione del beneficiario, comunicando che il CPS aveva manifestato l’intendimento di procedere alla dimissione dello stesso. Nella stessa giornata, su richiesta scritta del Comune, la scrivente trasmetteva a mezzo posta elettronica l’elenco aggiornato delle strutture presso le quali il beneficiario risultava in lista d’attesa, comprendente le seguenti quindici RSA — sostanzialmente coincidenti con le sedici di cui al precedente § 3.6, ad eccezione della RSA «Anni Sereni», allora ancora in pendenza dell’esito della rivalutazione tecnica del Dr. Aletti (poi formalizzata il 16 febbraio 2026): </w:t>
      </w:r>
      <w:r>
        <w:rPr>
          <w:i/>
          <w:iCs/>
        </w:rPr>
        <w:t>i)</w:t>
      </w:r>
      <w:r>
        <w:t xml:space="preserve"> Casa di Riposo Caprotti-Zavaritt; </w:t>
      </w:r>
      <w:r>
        <w:rPr>
          <w:i/>
          <w:iCs/>
        </w:rPr>
        <w:t>ii)</w:t>
      </w:r>
      <w:r>
        <w:t xml:space="preserve"> Casa di Riposo Piatti Venanzi – Fondazione ONLUS; </w:t>
      </w:r>
      <w:r>
        <w:rPr>
          <w:i/>
          <w:iCs/>
        </w:rPr>
        <w:t>iii)</w:t>
      </w:r>
      <w:r>
        <w:t xml:space="preserve"> Fondazione Casa di Riposo Spirano ONLUS; </w:t>
      </w:r>
      <w:r>
        <w:rPr>
          <w:i/>
          <w:iCs/>
        </w:rPr>
        <w:t>iv)</w:t>
      </w:r>
      <w:r>
        <w:t xml:space="preserve"> Fondazione Cecilia Caccia in Del Negro ONLUS; </w:t>
      </w:r>
      <w:r>
        <w:rPr>
          <w:i/>
          <w:iCs/>
        </w:rPr>
        <w:t>v)</w:t>
      </w:r>
      <w:r>
        <w:t xml:space="preserve"> Fondazione Domus E.D.E.R.A.; </w:t>
      </w:r>
      <w:r>
        <w:rPr>
          <w:i/>
          <w:iCs/>
        </w:rPr>
        <w:t>vi)</w:t>
      </w:r>
      <w:r>
        <w:t xml:space="preserve"> Fondazione Don Ciriaco Vezzoli ONLUS; </w:t>
      </w:r>
      <w:r>
        <w:rPr>
          <w:i/>
          <w:iCs/>
        </w:rPr>
        <w:t>vii)</w:t>
      </w:r>
      <w:r>
        <w:t xml:space="preserve"> Fondazione Martino Zanchi ONLUS – RSA; </w:t>
      </w:r>
      <w:r>
        <w:rPr>
          <w:i/>
          <w:iCs/>
        </w:rPr>
        <w:t>viii)</w:t>
      </w:r>
      <w:r>
        <w:t xml:space="preserve"> Fondazione Piero Piccinelli – Casa Maria Consolatrice ONLUS; </w:t>
      </w:r>
      <w:r>
        <w:rPr>
          <w:i/>
          <w:iCs/>
        </w:rPr>
        <w:t>ix)</w:t>
      </w:r>
      <w:r>
        <w:t xml:space="preserve"> Fondazione RSA Casa di Riposo Nembro ONLUS; </w:t>
      </w:r>
      <w:r>
        <w:rPr>
          <w:i/>
          <w:iCs/>
        </w:rPr>
        <w:t>x)</w:t>
      </w:r>
      <w:r>
        <w:t xml:space="preserve"> Opera Pia Caritas – RSA Casa Santa Maria; </w:t>
      </w:r>
      <w:r>
        <w:rPr>
          <w:i/>
          <w:iCs/>
        </w:rPr>
        <w:t>xi)</w:t>
      </w:r>
      <w:r>
        <w:t xml:space="preserve"> Opera Pia Olmo ONLUS; </w:t>
      </w:r>
      <w:r>
        <w:rPr>
          <w:i/>
          <w:iCs/>
        </w:rPr>
        <w:t>xii)</w:t>
      </w:r>
      <w:r>
        <w:t xml:space="preserve"> RSA Casa della Serenità; </w:t>
      </w:r>
      <w:r>
        <w:rPr>
          <w:i/>
          <w:iCs/>
        </w:rPr>
        <w:t>xiii)</w:t>
      </w:r>
      <w:r>
        <w:t xml:space="preserve"> Casa di Riposo Ovidio Cerruti; </w:t>
      </w:r>
      <w:r>
        <w:rPr>
          <w:i/>
          <w:iCs/>
        </w:rPr>
        <w:t>xiv)</w:t>
      </w:r>
      <w:r>
        <w:t xml:space="preserve"> RSA Papa Giovanni Paolo I; </w:t>
      </w:r>
      <w:r>
        <w:rPr>
          <w:i/>
          <w:iCs/>
        </w:rPr>
        <w:t>xv)</w:t>
      </w:r>
      <w:r>
        <w:t xml:space="preserve"> RSA Papa Giovanni XXIII.</w:t>
      </w:r>
    </w:p>
    <w:p w14:paraId="4401ADC7" w14:textId="77777777" w:rsidR="00AB52E8" w:rsidRDefault="00000000">
      <w:pPr>
        <w:jc w:val="both"/>
      </w:pPr>
      <w:r>
        <w:rPr>
          <w:b/>
          <w:bCs/>
        </w:rPr>
        <w:t>3.8. La chiamata online del 24 febbraio 2026.</w:t>
      </w:r>
      <w:r>
        <w:t xml:space="preserve"> In data 24 febbraio 2026, su convocazione dei servizi, la scrivente </w:t>
      </w:r>
      <w:proofErr w:type="spellStart"/>
      <w:r>
        <w:t>AdS</w:t>
      </w:r>
      <w:proofErr w:type="spellEnd"/>
      <w:r>
        <w:t xml:space="preserve"> partecipava a riunione in modalità telematica, nel corso della quale ribadiva l’elenco delle candidature attivate e l’estensione della ricerca anche al di fuori dei confini della provincia di Bergamo.</w:t>
      </w:r>
    </w:p>
    <w:p w14:paraId="0F74971E" w14:textId="27081F48" w:rsidR="00AB52E8" w:rsidRDefault="00000000">
      <w:pPr>
        <w:jc w:val="both"/>
      </w:pPr>
      <w:r>
        <w:rPr>
          <w:b/>
          <w:bCs/>
        </w:rPr>
        <w:t>3.9. L’estensione della ricerca.</w:t>
      </w:r>
      <w:r>
        <w:t xml:space="preserve"> Esauriti i canali ordinari della rete territoriale della provincia di Bergamo, la scrivente ha esteso la ricerca: </w:t>
      </w:r>
      <w:r>
        <w:rPr>
          <w:i/>
          <w:iCs/>
        </w:rPr>
        <w:t>i)</w:t>
      </w:r>
      <w:r>
        <w:t xml:space="preserve"> alle </w:t>
      </w:r>
      <w:r>
        <w:rPr>
          <w:b/>
          <w:bCs/>
        </w:rPr>
        <w:t>Residenze Sanitarie per Disabili (RSD)</w:t>
      </w:r>
      <w:r>
        <w:t xml:space="preserve">, come suggerito da taluni operatori delle RSA contattate in considerazione del quadro psichiatrico cronico del beneficiario: tali strutture hanno tuttavia respinto ogni candidatura per oggettivo superamento del limite anagrafico dei 65 anni previsto per l’ammissione; </w:t>
      </w:r>
      <w:r>
        <w:rPr>
          <w:i/>
          <w:iCs/>
        </w:rPr>
        <w:t>ii)</w:t>
      </w:r>
      <w:r>
        <w:t xml:space="preserve"> alle </w:t>
      </w:r>
      <w:r>
        <w:rPr>
          <w:b/>
          <w:bCs/>
        </w:rPr>
        <w:t>RSA extra-provincia</w:t>
      </w:r>
      <w:r>
        <w:t>, che hanno opposto criteri di priorità sfavorevoli ai residenti di altri territori e l’assenza di disponibilità nel breve termine. L’unica risposta positiva è pervenuta dall’</w:t>
      </w:r>
      <w:r>
        <w:rPr>
          <w:b/>
          <w:bCs/>
        </w:rPr>
        <w:t>Ospedale della Carità di Casalbuttano</w:t>
      </w:r>
      <w:r>
        <w:t xml:space="preserve"> (CR), il quale tuttavia ha collocato il beneficiario in posizione bassa di graduatoria, sicché lo scorrimento non risulta compatibile con la scadenza del 16 luglio 2026. Si rappresenta inoltre che, nel corso della ricerca, plurime strutture hanno opposto rifiuto all’ammissione del beneficiario adducendo concorrenti criteri ostativi non superabili </w:t>
      </w:r>
      <w:proofErr w:type="spellStart"/>
      <w:r>
        <w:t>dall’AdS</w:t>
      </w:r>
      <w:proofErr w:type="spellEnd"/>
      <w:r>
        <w:t xml:space="preserve">, e segnatamente: </w:t>
      </w:r>
      <w:r>
        <w:rPr>
          <w:i/>
          <w:iCs/>
        </w:rPr>
        <w:t>i)</w:t>
      </w:r>
      <w:r>
        <w:t xml:space="preserve"> l’età del beneficiario; </w:t>
      </w:r>
      <w:r>
        <w:rPr>
          <w:i/>
          <w:iCs/>
        </w:rPr>
        <w:t>ii)</w:t>
      </w:r>
      <w:r>
        <w:t xml:space="preserve"> il tabagismo; </w:t>
      </w:r>
      <w:r>
        <w:rPr>
          <w:i/>
          <w:iCs/>
        </w:rPr>
        <w:t>iii)</w:t>
      </w:r>
      <w:r>
        <w:t xml:space="preserve"> la natura della patologia psichiatrica cronica. Tali rifiuti, fondati su valutazioni sanitarie e organizzative interne alle strutture, esulano dalla sfera di disponibilità </w:t>
      </w:r>
      <w:proofErr w:type="spellStart"/>
      <w:r>
        <w:t>dell’AdS</w:t>
      </w:r>
      <w:proofErr w:type="spellEnd"/>
      <w:r>
        <w:t xml:space="preserve"> e confermano ulteriormente la necessità di un intervento di tipo istituzionale, idoneo a operare in deroga ai criteri ordinari di ammissione.</w:t>
      </w:r>
    </w:p>
    <w:p w14:paraId="06D61BFD" w14:textId="167F6A24" w:rsidR="00AB52E8" w:rsidRDefault="00000000">
      <w:pPr>
        <w:jc w:val="both"/>
      </w:pPr>
      <w:r>
        <w:rPr>
          <w:b/>
          <w:bCs/>
        </w:rPr>
        <w:lastRenderedPageBreak/>
        <w:t>3.10. Le interlocuzioni successive: indicazioni di strutture inadeguate, richiesta ISEE, modulo di ricovero di sollievo.</w:t>
      </w:r>
      <w:r>
        <w:t xml:space="preserve"> Nei mesi immediatamente successivi, </w:t>
      </w:r>
      <w:proofErr w:type="spellStart"/>
      <w:r>
        <w:t>l’AdS</w:t>
      </w:r>
      <w:proofErr w:type="spellEnd"/>
      <w:r>
        <w:t xml:space="preserve"> ha riscontrato puntualmente ogni ulteriore richiesta dei servizi, e segnatamente: </w:t>
      </w:r>
      <w:r>
        <w:rPr>
          <w:i/>
          <w:iCs/>
        </w:rPr>
        <w:t>i)</w:t>
      </w:r>
      <w:r>
        <w:t xml:space="preserve"> ha verificato le strutture nel frattempo segnalate dai servizi, constatandone la inadeguatezza strutturale e organizzativa (si segnala in particolare la « </w:t>
      </w:r>
      <w:r>
        <w:rPr>
          <w:i/>
          <w:iCs/>
        </w:rPr>
        <w:t>Residenza Il Pino</w:t>
      </w:r>
      <w:r>
        <w:t xml:space="preserve"> » di Treviglio, casa-famiglia priva di personale medico, infermieristico e OSS, proposta per un paziente invalido civile al 100%); </w:t>
      </w:r>
      <w:r>
        <w:rPr>
          <w:i/>
          <w:iCs/>
        </w:rPr>
        <w:t>ii)</w:t>
      </w:r>
      <w:r>
        <w:t xml:space="preserve"> ha provveduto alla richiesta e alla trasmissione ai servizi dell’</w:t>
      </w:r>
      <w:r>
        <w:rPr>
          <w:b/>
          <w:bCs/>
        </w:rPr>
        <w:t>ISEE socio-sanitario</w:t>
      </w:r>
      <w:r>
        <w:t xml:space="preserve"> del beneficiario, ai fini della determinazione della quota sociale della retta; </w:t>
      </w:r>
      <w:r>
        <w:rPr>
          <w:i/>
          <w:iCs/>
        </w:rPr>
        <w:t>iii)</w:t>
      </w:r>
      <w:r>
        <w:t xml:space="preserve"> ha rifiutato la sottoscrizione del modulo di ricovero di sollievo nei termini in cui era stato proposto, in difetto di previa autorizzazione di codesto Ill.mo Ufficio e in assenza di un progetto assistenziale strutturato - per le ragioni esposte </w:t>
      </w:r>
      <w:r>
        <w:rPr>
          <w:i/>
          <w:iCs/>
        </w:rPr>
        <w:t>infra</w:t>
      </w:r>
      <w:r>
        <w:t xml:space="preserve"> al § 7 - comunicando per iscritto ai servizi le ragioni della propria posizione; </w:t>
      </w:r>
      <w:r>
        <w:rPr>
          <w:i/>
          <w:iCs/>
        </w:rPr>
        <w:t>iv)</w:t>
      </w:r>
      <w:r>
        <w:t xml:space="preserve"> ha aggiornato i servizi sulla situazione personale e patrimoniale del beneficiario, segnalando in particolare l’assenza di proprietà immobiliari di sua titolarità, in risposta a specifica richiesta dei servizi medesimi circa la disponibilità di soluzioni abitative alternative; </w:t>
      </w:r>
      <w:r>
        <w:rPr>
          <w:i/>
          <w:iCs/>
        </w:rPr>
        <w:t>v)</w:t>
      </w:r>
      <w:r>
        <w:t xml:space="preserve"> ha rappresentato ai servizi la circostanza, da loro stessi ignorata, della pregressa cancellazione del beneficiario dall’anagrafe del Comune di Fara Gera d’Adda — conseguenza di errori amministrativi imputabili all’Ufficio Anagrafe del medesimo Comune — circostanza che aveva comportato gravi criticità in punto di erogazione dell’invalidità e della pensione, sino al ricorso ad INPS proposto con il supporto del legale </w:t>
      </w:r>
      <w:proofErr w:type="spellStart"/>
      <w:r>
        <w:t>dell’AdS</w:t>
      </w:r>
      <w:proofErr w:type="spellEnd"/>
      <w:r>
        <w:t>.</w:t>
      </w:r>
    </w:p>
    <w:p w14:paraId="5EFC7454" w14:textId="2DBAC3CE" w:rsidR="00AB52E8" w:rsidRDefault="00000000">
      <w:pPr>
        <w:jc w:val="both"/>
      </w:pPr>
      <w:r>
        <w:rPr>
          <w:b/>
          <w:bCs/>
        </w:rPr>
        <w:t>3.11. La convocazione del 30 marzo 2026: l’oggetto dichiarato dal Comune.</w:t>
      </w:r>
      <w:r>
        <w:t xml:space="preserve"> È utile rappresentare a codesto Tribunale che la convocazione della riunione del 30 marzo 2026 è stata promossa, in data 20 marzo 2026, dai medesimi Servizi Sociali del Comune di Fara Gera d’Adda, i quali - testualmente, nella mail di convocazione - dichiaravano di avere «</w:t>
      </w:r>
      <w:r>
        <w:rPr>
          <w:i/>
          <w:iCs/>
        </w:rPr>
        <w:t>necessità di un nuovo confronto che chiarisca la nostra posizione in qualità di servizi sociali</w:t>
      </w:r>
      <w:r>
        <w:t xml:space="preserve">». La riunione era dunque dichiaratamente finalizzata al </w:t>
      </w:r>
      <w:r>
        <w:rPr>
          <w:b/>
          <w:bCs/>
        </w:rPr>
        <w:t>chiarimento della posizione dei servizi</w:t>
      </w:r>
      <w:r>
        <w:t xml:space="preserve"> - e non alla disamina di asserite inadempienze </w:t>
      </w:r>
      <w:proofErr w:type="spellStart"/>
      <w:r>
        <w:t>dell’AdS</w:t>
      </w:r>
      <w:proofErr w:type="spellEnd"/>
      <w:r>
        <w:t xml:space="preserve">. L’istanza Prot. n. 7011/2026 del 18 maggio 2026, riconfigurando </w:t>
      </w:r>
      <w:r>
        <w:rPr>
          <w:i/>
          <w:iCs/>
        </w:rPr>
        <w:t>ex post</w:t>
      </w:r>
      <w:r>
        <w:t xml:space="preserve"> quella riunione come occasione per l’imputazione di una pretesa inerzia </w:t>
      </w:r>
      <w:proofErr w:type="spellStart"/>
      <w:r>
        <w:t>all’AdS</w:t>
      </w:r>
      <w:proofErr w:type="spellEnd"/>
      <w:r>
        <w:t>, restituisce una narrazione che non corrisponde all’oggetto dichiarato dell’incontro dai medesimi promotori.</w:t>
      </w:r>
    </w:p>
    <w:p w14:paraId="160795EE" w14:textId="77777777" w:rsidR="00AB52E8" w:rsidRDefault="00000000">
      <w:pPr>
        <w:jc w:val="both"/>
      </w:pPr>
      <w:r>
        <w:rPr>
          <w:b/>
          <w:bCs/>
        </w:rPr>
        <w:t>3.12. Sintesi.</w:t>
      </w:r>
      <w:r>
        <w:t xml:space="preserve"> La rassegna cronologica che precede dimostra, a giudizio della scrivente, che </w:t>
      </w:r>
      <w:r>
        <w:rPr>
          <w:i/>
          <w:iCs/>
        </w:rPr>
        <w:t>i)</w:t>
      </w:r>
      <w:r>
        <w:t xml:space="preserve"> </w:t>
      </w:r>
      <w:proofErr w:type="spellStart"/>
      <w:r>
        <w:t>l’AdS</w:t>
      </w:r>
      <w:proofErr w:type="spellEnd"/>
      <w:r>
        <w:t xml:space="preserve"> si è attivata immediatamente dopo l’insediamento, estendendo progressivamente le candidature; </w:t>
      </w:r>
      <w:r>
        <w:rPr>
          <w:i/>
          <w:iCs/>
        </w:rPr>
        <w:t>ii)</w:t>
      </w:r>
      <w:r>
        <w:t xml:space="preserve"> ha tempestivamente reso edotti i servizi delle iniziative assunte; </w:t>
      </w:r>
      <w:r>
        <w:rPr>
          <w:i/>
          <w:iCs/>
        </w:rPr>
        <w:t>iii)</w:t>
      </w:r>
      <w:r>
        <w:t xml:space="preserve"> ha esteso la ricerca oltre i confini provinciali e a tipologie residenziali differenti dall’RSA, esaurendo gli strumenti di iniziativa privata; </w:t>
      </w:r>
      <w:r>
        <w:rPr>
          <w:i/>
          <w:iCs/>
        </w:rPr>
        <w:t>iv)</w:t>
      </w:r>
      <w:r>
        <w:t xml:space="preserve"> ha riscontrato puntualmente ogni interlocuzione dei servizi; </w:t>
      </w:r>
      <w:r>
        <w:rPr>
          <w:i/>
          <w:iCs/>
        </w:rPr>
        <w:t>v)</w:t>
      </w:r>
      <w:r>
        <w:t xml:space="preserve"> ha rifiutato di sottoscrivere atti pregiudizievoli per il beneficiario, in difetto di autorizzazione del Giudice Tutelare. L’«</w:t>
      </w:r>
      <w:r>
        <w:rPr>
          <w:i/>
          <w:iCs/>
        </w:rPr>
        <w:t>inerzia</w:t>
      </w:r>
      <w:r>
        <w:t>», narrata dall’istanza comunale, semplicemente non è esistita.</w:t>
      </w:r>
    </w:p>
    <w:p w14:paraId="3C0F9605" w14:textId="77777777" w:rsidR="00AB52E8" w:rsidRDefault="00000000">
      <w:pPr>
        <w:jc w:val="both"/>
      </w:pPr>
      <w:r>
        <w:rPr>
          <w:b/>
          <w:bCs/>
        </w:rPr>
        <w:t>3.13. Lo stato delle candidature alla data odierna.</w:t>
      </w:r>
      <w:r>
        <w:t xml:space="preserve"> Si rappresenta, in chiusura della presente esposizione fattuale, che alla data odierna risultano attive in capo al beneficiario, sul portale gestionale regionale delle liste d’attesa, quindici candidature, sostanzialmente coincidenti con quelle di cui al precedente § 3.6, salvo le seguenti aggiornate emergenze: </w:t>
      </w:r>
      <w:r>
        <w:rPr>
          <w:i/>
          <w:iCs/>
        </w:rPr>
        <w:t>i)</w:t>
      </w:r>
      <w:r>
        <w:t xml:space="preserve"> in relazione alla Casa di Riposo Caprotti-Zavaritt, il sistema attribuisce ora al beneficiario la posizione n. 213 in graduatoria, dato che da solo testimonia l’assoluta incompatibilità di tale candidatura con la scadenza del 16 luglio 2026; </w:t>
      </w:r>
      <w:r>
        <w:rPr>
          <w:i/>
          <w:iCs/>
        </w:rPr>
        <w:t>ii)</w:t>
      </w:r>
      <w:r>
        <w:t xml:space="preserve"> risultano ora certificate a sistema le non idoneità formalmente </w:t>
      </w:r>
      <w:r>
        <w:lastRenderedPageBreak/>
        <w:t>espresse dalla Fondazione Casa di Riposo Spirano ONLUS e dalla Fondazione Don Ciriaco Vezzoli ONLUS, quest’ultima quale ulteriore segnalazione sopravvenuta. La descritta attività di monitoraggio e di ricerca prosegue ad oggi, senza soluzione di continuità, nonostante la pendenza dell’istanza comunale in oggetto.</w:t>
      </w:r>
    </w:p>
    <w:p w14:paraId="3C0F9604" w14:textId="77777777" w:rsidR="00AB52E8" w:rsidRDefault="00AB52E8"/>
    <w:p w14:paraId="3CFAE707" w14:textId="77777777" w:rsidR="00AB52E8" w:rsidRDefault="00000000">
      <w:pPr>
        <w:jc w:val="center"/>
      </w:pPr>
      <w:r>
        <w:rPr>
          <w:b/>
          <w:bCs/>
        </w:rPr>
        <w:t>IN DIRITTO</w:t>
      </w:r>
    </w:p>
    <w:p w14:paraId="007DCDA4" w14:textId="77777777" w:rsidR="00AB52E8" w:rsidRPr="00C460AB" w:rsidRDefault="00000000">
      <w:pPr>
        <w:spacing w:before="240"/>
        <w:jc w:val="both"/>
        <w:rPr>
          <w:sz w:val="28"/>
          <w:szCs w:val="28"/>
        </w:rPr>
      </w:pPr>
      <w:r>
        <w:rPr>
          <w:b/>
          <w:bCs/>
          <w:sz w:val="28"/>
          <w:szCs w:val="28"/>
        </w:rPr>
        <w:t>4. La cornice costituzionale e convenzionale di riferimento</w:t>
      </w:r>
    </w:p>
    <w:p w14:paraId="7546B4BD" w14:textId="77777777" w:rsidR="00AB52E8" w:rsidRDefault="00000000">
      <w:pPr>
        <w:jc w:val="both"/>
      </w:pPr>
      <w:r>
        <w:t xml:space="preserve">La vicenda assistenziale del sig. Colnaghi va inquadrata, prima ancora che nel diritto positivo interno, nei principi sanciti dagli </w:t>
      </w:r>
      <w:r>
        <w:rPr>
          <w:b/>
          <w:bCs/>
        </w:rPr>
        <w:t>artt. 2, 3, 32 e 38 della Costituzione</w:t>
      </w:r>
      <w:r>
        <w:t xml:space="preserve"> e nella </w:t>
      </w:r>
      <w:r>
        <w:rPr>
          <w:b/>
          <w:bCs/>
        </w:rPr>
        <w:t>Convenzione delle Nazioni Unite sui diritti delle persone con disabilità</w:t>
      </w:r>
      <w:r>
        <w:t xml:space="preserve"> adottata a New York il 13 dicembre 2006, ratificata e resa esecutiva con la </w:t>
      </w:r>
      <w:r>
        <w:rPr>
          <w:b/>
          <w:bCs/>
        </w:rPr>
        <w:t>legge 3 marzo 2009, n. 18</w:t>
      </w:r>
      <w:r>
        <w:t>, che orienta nel senso più favorevole alla persona la disciplina degli istituti di protezione e di assistenza. In particolare l’</w:t>
      </w:r>
      <w:r>
        <w:rPr>
          <w:b/>
          <w:bCs/>
        </w:rPr>
        <w:t>art. 12</w:t>
      </w:r>
      <w:r>
        <w:t xml:space="preserve"> (uguale riconoscimento dinanzi alla legge), l’</w:t>
      </w:r>
      <w:r>
        <w:rPr>
          <w:b/>
          <w:bCs/>
        </w:rPr>
        <w:t>art. 19</w:t>
      </w:r>
      <w:r>
        <w:t xml:space="preserve"> (vita indipendente ed inclusione nella società, con assicurazione di servizi che “</w:t>
      </w:r>
      <w:r>
        <w:rPr>
          <w:i/>
          <w:iCs/>
        </w:rPr>
        <w:t>evitino l’isolamento o la segregazione dalla comunità</w:t>
      </w:r>
      <w:r>
        <w:t>”) e l’</w:t>
      </w:r>
      <w:r>
        <w:rPr>
          <w:b/>
          <w:bCs/>
        </w:rPr>
        <w:t>art. 28</w:t>
      </w:r>
      <w:r>
        <w:t xml:space="preserve"> (adeguato livello di vita e protezione sociale) impegnano lo Stato a garantire alle persone con disabilità misure assistenziali stabili e personalizzate, e non passaggi precari tra strutture senza progetto.</w:t>
      </w:r>
    </w:p>
    <w:p w14:paraId="34909E4A" w14:textId="77777777" w:rsidR="00AB52E8" w:rsidRPr="00C460AB" w:rsidRDefault="00000000">
      <w:pPr>
        <w:spacing w:before="240"/>
        <w:jc w:val="both"/>
        <w:rPr>
          <w:sz w:val="28"/>
          <w:szCs w:val="28"/>
        </w:rPr>
      </w:pPr>
      <w:r>
        <w:rPr>
          <w:b/>
          <w:bCs/>
          <w:sz w:val="28"/>
          <w:szCs w:val="28"/>
        </w:rPr>
        <w:t xml:space="preserve">5. L’inconsistenza giuridica dell’attribuzione </w:t>
      </w:r>
      <w:proofErr w:type="spellStart"/>
      <w:r>
        <w:rPr>
          <w:b/>
          <w:bCs/>
          <w:sz w:val="28"/>
          <w:szCs w:val="28"/>
        </w:rPr>
        <w:t>all’AdS</w:t>
      </w:r>
      <w:proofErr w:type="spellEnd"/>
      <w:r>
        <w:rPr>
          <w:b/>
          <w:bCs/>
          <w:sz w:val="28"/>
          <w:szCs w:val="28"/>
        </w:rPr>
        <w:t xml:space="preserve"> della competenza alla individuazione e alla sottoscrizione del collocamento residenziale</w:t>
      </w:r>
    </w:p>
    <w:p w14:paraId="2B1543FE" w14:textId="77777777" w:rsidR="00AB52E8" w:rsidRDefault="00000000">
      <w:pPr>
        <w:jc w:val="both"/>
      </w:pPr>
      <w:r>
        <w:rPr>
          <w:b/>
          <w:bCs/>
        </w:rPr>
        <w:t>5.1. La tesi del Comune.</w:t>
      </w:r>
      <w:r>
        <w:t xml:space="preserve"> Il Comune fonda la pretesa «</w:t>
      </w:r>
      <w:r>
        <w:rPr>
          <w:i/>
          <w:iCs/>
        </w:rPr>
        <w:t>inerzia</w:t>
      </w:r>
      <w:r>
        <w:t xml:space="preserve">» </w:t>
      </w:r>
      <w:proofErr w:type="spellStart"/>
      <w:r>
        <w:t>dell’AdS</w:t>
      </w:r>
      <w:proofErr w:type="spellEnd"/>
      <w:r>
        <w:t xml:space="preserve"> sulla lettura di un singolo inciso del decreto di nomina del 13 maggio 2024, che il Comune cita testualmente: «</w:t>
      </w:r>
      <w:r>
        <w:rPr>
          <w:i/>
          <w:iCs/>
        </w:rPr>
        <w:t xml:space="preserve">…per il pagamento di tutte le esigenze di cura e assistenza che risultassero necessarie o utili… i pagamenti relativi alle necessità quotidiane per cura e mantenimento del beneficiario (ad es.: retta istituto di </w:t>
      </w:r>
      <w:proofErr w:type="gramStart"/>
      <w:r>
        <w:rPr>
          <w:i/>
          <w:iCs/>
        </w:rPr>
        <w:t>ricovero)…</w:t>
      </w:r>
      <w:proofErr w:type="gramEnd"/>
      <w:r>
        <w:t xml:space="preserve">». Da tale formulazione il Comune inferisce che </w:t>
      </w:r>
      <w:proofErr w:type="spellStart"/>
      <w:r>
        <w:t>l’AdS</w:t>
      </w:r>
      <w:proofErr w:type="spellEnd"/>
      <w:r>
        <w:t xml:space="preserve"> sarebbe titolare della competenza all’«</w:t>
      </w:r>
      <w:r>
        <w:rPr>
          <w:i/>
          <w:iCs/>
        </w:rPr>
        <w:t>occuparsi di trovare idonea allocazione</w:t>
      </w:r>
      <w:r>
        <w:t>» del beneficiario.</w:t>
      </w:r>
    </w:p>
    <w:p w14:paraId="69DE2935" w14:textId="11DBD152" w:rsidR="00AB52E8" w:rsidRDefault="00000000">
      <w:pPr>
        <w:jc w:val="both"/>
      </w:pPr>
      <w:r>
        <w:rPr>
          <w:b/>
          <w:bCs/>
        </w:rPr>
        <w:t>5.2. L’erroneità della tesi.</w:t>
      </w:r>
      <w:r>
        <w:t xml:space="preserve"> Tale ricostruzione muove da una confusione strutturale tra il piano della </w:t>
      </w:r>
      <w:r>
        <w:rPr>
          <w:i/>
          <w:iCs/>
        </w:rPr>
        <w:t>autorizzazione al pagamento della retta</w:t>
      </w:r>
      <w:r>
        <w:t xml:space="preserve"> - attribuita </w:t>
      </w:r>
      <w:proofErr w:type="spellStart"/>
      <w:r>
        <w:t>all’AdS</w:t>
      </w:r>
      <w:proofErr w:type="spellEnd"/>
      <w:r>
        <w:t xml:space="preserve"> in via ordinaria - e il piano della </w:t>
      </w:r>
      <w:r>
        <w:rPr>
          <w:i/>
          <w:iCs/>
        </w:rPr>
        <w:t>individuazione e progettazione del percorso assistenziale</w:t>
      </w:r>
      <w:r>
        <w:t xml:space="preserve">, che presuppone valutazioni di natura sanitaria, sociale e organizzativa rimesse </w:t>
      </w:r>
      <w:r>
        <w:rPr>
          <w:i/>
          <w:iCs/>
        </w:rPr>
        <w:t>ex lege</w:t>
      </w:r>
      <w:r>
        <w:t xml:space="preserve"> ai servizi competenti. La clausola richiamata presuppone a monte che la struttura sia stata individuata nel quadro di un progetto assistenziale formalizzato, e si limita a consentire il pagamento delle rette in via ordinaria.</w:t>
      </w:r>
    </w:p>
    <w:p w14:paraId="0ADFD077" w14:textId="60370A81" w:rsidR="00AB52E8" w:rsidRDefault="00000000">
      <w:pPr>
        <w:jc w:val="both"/>
      </w:pPr>
      <w:r>
        <w:rPr>
          <w:b/>
          <w:bCs/>
        </w:rPr>
        <w:t>5.3. La conferma testuale offerta dallo stesso decreto di nomina.</w:t>
      </w:r>
      <w:r>
        <w:t xml:space="preserve"> Il decreto di nomina del 13 maggio 2024 (</w:t>
      </w:r>
      <w:r>
        <w:rPr>
          <w:b/>
          <w:bCs/>
        </w:rPr>
        <w:t>All. 4 alla relazione del 27 aprile 2026</w:t>
      </w:r>
      <w:r>
        <w:t xml:space="preserve">), nella parte definitoria dei poteri di rappresentanza personale </w:t>
      </w:r>
      <w:proofErr w:type="spellStart"/>
      <w:r>
        <w:t>dell’AdS</w:t>
      </w:r>
      <w:proofErr w:type="spellEnd"/>
      <w:r>
        <w:t>, attribuisce a quest’ultima il potere di «</w:t>
      </w:r>
      <w:r>
        <w:rPr>
          <w:i/>
          <w:iCs/>
        </w:rPr>
        <w:t>intrattenere i rapporti con l’Autorità Sanitaria per tutte le esigenze di cura e di assistenza che risultassero utili e necessarie per il beneficiario, sollecitando e interagendo con i competenti servizi sociali e sanitari, migliorando ove possibile la soluzione assistenziale e abitativa</w:t>
      </w:r>
      <w:r>
        <w:t xml:space="preserve">». La formulazione, inequivoca, postula </w:t>
      </w:r>
      <w:r>
        <w:rPr>
          <w:i/>
          <w:iCs/>
        </w:rPr>
        <w:t>i)</w:t>
      </w:r>
      <w:r>
        <w:t xml:space="preserve"> un ruolo di </w:t>
      </w:r>
      <w:r>
        <w:rPr>
          <w:i/>
          <w:iCs/>
        </w:rPr>
        <w:t>impulso</w:t>
      </w:r>
      <w:r>
        <w:t xml:space="preserve"> </w:t>
      </w:r>
      <w:proofErr w:type="spellStart"/>
      <w:r>
        <w:t>dell’AdS</w:t>
      </w:r>
      <w:proofErr w:type="spellEnd"/>
      <w:r>
        <w:t xml:space="preserve"> rispetto a «</w:t>
      </w:r>
      <w:r>
        <w:rPr>
          <w:i/>
          <w:iCs/>
        </w:rPr>
        <w:t>competenti servizi</w:t>
      </w:r>
      <w:r>
        <w:t xml:space="preserve">» - locuzione che presuppone l’esistenza, in capo a soggetti terzi, di una competenza propria - e non un ruolo </w:t>
      </w:r>
      <w:r>
        <w:rPr>
          <w:i/>
          <w:iCs/>
        </w:rPr>
        <w:lastRenderedPageBreak/>
        <w:t>sostitutivo</w:t>
      </w:r>
      <w:r>
        <w:t xml:space="preserve">; </w:t>
      </w:r>
      <w:r>
        <w:rPr>
          <w:i/>
          <w:iCs/>
        </w:rPr>
        <w:t>ii)</w:t>
      </w:r>
      <w:r>
        <w:t xml:space="preserve"> un dovere di «</w:t>
      </w:r>
      <w:r>
        <w:rPr>
          <w:i/>
          <w:iCs/>
        </w:rPr>
        <w:t>interagire</w:t>
      </w:r>
      <w:r>
        <w:t xml:space="preserve">» - attività che postula un interlocutore istituzionale parimenti tenuto ad agire; </w:t>
      </w:r>
      <w:r>
        <w:rPr>
          <w:i/>
          <w:iCs/>
        </w:rPr>
        <w:t>iii)</w:t>
      </w:r>
      <w:r>
        <w:t xml:space="preserve"> un perimetro di intervento ancorato al canone della «</w:t>
      </w:r>
      <w:r>
        <w:rPr>
          <w:i/>
          <w:iCs/>
        </w:rPr>
        <w:t>possibilità</w:t>
      </w:r>
      <w:r>
        <w:t xml:space="preserve">» del miglioramento, e non al canone del </w:t>
      </w:r>
      <w:r>
        <w:rPr>
          <w:i/>
          <w:iCs/>
        </w:rPr>
        <w:t>risultato</w:t>
      </w:r>
      <w:r>
        <w:t xml:space="preserve">. La titolarità funzionale della progettazione assistenziale resta in capo ai servizi sanitari e sociali. Lo strumento d’impulso </w:t>
      </w:r>
      <w:proofErr w:type="spellStart"/>
      <w:r>
        <w:t>dell’AdS</w:t>
      </w:r>
      <w:proofErr w:type="spellEnd"/>
      <w:r>
        <w:t>, in concreto, incontra il limite invalicabile dell’assenza di poteri di forzatura del sistema - limite che invece i servizi possono superare - come dimostrato fattualmente dalla vicenda «Anni Sereni» di cui al § 3.4.</w:t>
      </w:r>
    </w:p>
    <w:p w14:paraId="474D2286" w14:textId="2C503541" w:rsidR="00AB52E8" w:rsidRDefault="00000000">
      <w:pPr>
        <w:jc w:val="both"/>
      </w:pPr>
      <w:r>
        <w:rPr>
          <w:b/>
          <w:bCs/>
        </w:rPr>
        <w:t>5.4. Ulteriore conferma testuale: l’obbligo di comunicazione al Giudice Tutelare del mutamento di collocazione abitativa.</w:t>
      </w:r>
      <w:r>
        <w:t xml:space="preserve"> Lo stesso decreto di nomina dispone, in capo </w:t>
      </w:r>
      <w:proofErr w:type="spellStart"/>
      <w:r>
        <w:t>all’AdS</w:t>
      </w:r>
      <w:proofErr w:type="spellEnd"/>
      <w:r>
        <w:t>, «</w:t>
      </w:r>
      <w:r>
        <w:rPr>
          <w:i/>
          <w:iCs/>
        </w:rPr>
        <w:t>l’obbligo di comunicare immediatamente eventuali circostanze sopravvenute che incidano notevolmente sulla sfera personale (es: mutamento del luogo di collocazione abitativa, necessità di un intervento sanitario, ecc.) o economica (es: eredità) del beneficiario, ovvero che rendano opportuna una modifica del contenuto del decreto, depositando analitica relazione</w:t>
      </w:r>
      <w:r>
        <w:t xml:space="preserve">». Il provvedimento </w:t>
      </w:r>
      <w:r>
        <w:rPr>
          <w:b/>
          <w:bCs/>
        </w:rPr>
        <w:t>qualifica direttamente</w:t>
      </w:r>
      <w:r>
        <w:t xml:space="preserve"> il «</w:t>
      </w:r>
      <w:r>
        <w:rPr>
          <w:i/>
          <w:iCs/>
        </w:rPr>
        <w:t>mutamento del luogo di collocazione abitativa</w:t>
      </w:r>
      <w:r>
        <w:t xml:space="preserve">» quale circostanza incidente in maniera notevole sulla sfera personale del beneficiario. Ne consegue che, </w:t>
      </w:r>
      <w:r>
        <w:rPr>
          <w:i/>
          <w:iCs/>
        </w:rPr>
        <w:t>a fortiori</w:t>
      </w:r>
      <w:r>
        <w:t>, la sottoscrizione di un atto direttamente determinativo di tale mutamento - qual è il modulo di ricovero di sollievo - non può essere ricondotta all’area dell’ordinaria amministrazione.</w:t>
      </w:r>
    </w:p>
    <w:p w14:paraId="7532387B" w14:textId="77777777" w:rsidR="00AB52E8" w:rsidRDefault="00000000">
      <w:pPr>
        <w:jc w:val="both"/>
      </w:pPr>
      <w:r>
        <w:rPr>
          <w:b/>
          <w:bCs/>
        </w:rPr>
        <w:t>5.5. Il quadro normativo di riferimento.</w:t>
      </w:r>
      <w:r>
        <w:t xml:space="preserve"> La competenza dei servizi è confermata dal complesso disposto: </w:t>
      </w:r>
      <w:r>
        <w:rPr>
          <w:i/>
          <w:iCs/>
        </w:rPr>
        <w:t>i)</w:t>
      </w:r>
      <w:r>
        <w:t xml:space="preserve"> dell’</w:t>
      </w:r>
      <w:r>
        <w:rPr>
          <w:b/>
          <w:bCs/>
        </w:rPr>
        <w:t>art. 14 della legge 8 novembre 2000, n. 328</w:t>
      </w:r>
      <w:r>
        <w:t xml:space="preserve">, che attribuisce ai Comuni, d’intesa con le aziende unità sanitarie locali, la predisposizione del progetto individuale comprensivo della valutazione diagnostico-funzionale, delle prestazioni di cura e di riabilitazione, dei servizi alla persona e delle misure economiche necessarie; </w:t>
      </w:r>
      <w:r>
        <w:rPr>
          <w:i/>
          <w:iCs/>
        </w:rPr>
        <w:t>ii)</w:t>
      </w:r>
      <w:r>
        <w:t xml:space="preserve"> dell’</w:t>
      </w:r>
      <w:r>
        <w:rPr>
          <w:b/>
          <w:bCs/>
        </w:rPr>
        <w:t>art. 22 della medesima legge n. 328/2000</w:t>
      </w:r>
      <w:r>
        <w:t xml:space="preserve">, che definisce il sistema integrato di interventi e servizi sociali; </w:t>
      </w:r>
      <w:r>
        <w:rPr>
          <w:i/>
          <w:iCs/>
        </w:rPr>
        <w:t>iii)</w:t>
      </w:r>
      <w:r>
        <w:t xml:space="preserve"> dell’</w:t>
      </w:r>
      <w:r>
        <w:rPr>
          <w:b/>
          <w:bCs/>
        </w:rPr>
        <w:t>art. 3-septies del d.lgs. 30 dicembre 1992, n. 502</w:t>
      </w:r>
      <w:r>
        <w:t xml:space="preserve">, in tema di prestazioni socio-sanitarie ad elevata integrazione; </w:t>
      </w:r>
      <w:r>
        <w:rPr>
          <w:i/>
          <w:iCs/>
        </w:rPr>
        <w:t>iv)</w:t>
      </w:r>
      <w:r>
        <w:t xml:space="preserve"> del </w:t>
      </w:r>
      <w:proofErr w:type="spellStart"/>
      <w:r>
        <w:rPr>
          <w:b/>
          <w:bCs/>
        </w:rPr>
        <w:t>d.P.C.M.</w:t>
      </w:r>
      <w:proofErr w:type="spellEnd"/>
      <w:r>
        <w:rPr>
          <w:b/>
          <w:bCs/>
        </w:rPr>
        <w:t xml:space="preserve"> 12 gennaio 2017</w:t>
      </w:r>
      <w:r>
        <w:t xml:space="preserve"> e dei suoi artt. 21, 22, 26 e 33, sull’assistenza socio-sanitaria territoriale e residenziale a favore delle persone con disturbi mentali, nonché sulla continuità tra i livelli assistenziali.</w:t>
      </w:r>
    </w:p>
    <w:p w14:paraId="22ADC3AB" w14:textId="77777777" w:rsidR="00AB52E8" w:rsidRPr="00C460AB" w:rsidRDefault="00000000">
      <w:pPr>
        <w:spacing w:before="240"/>
        <w:jc w:val="both"/>
        <w:rPr>
          <w:sz w:val="28"/>
          <w:szCs w:val="28"/>
        </w:rPr>
      </w:pPr>
      <w:r>
        <w:rPr>
          <w:b/>
          <w:bCs/>
          <w:sz w:val="28"/>
          <w:szCs w:val="28"/>
        </w:rPr>
        <w:t>6. L’auto-confessione del Comune in ordine alla propria astensione dalla funzione di co-progettazione</w:t>
      </w:r>
    </w:p>
    <w:p w14:paraId="7F3829B2" w14:textId="58618251" w:rsidR="00AB52E8" w:rsidRDefault="00000000">
      <w:pPr>
        <w:jc w:val="both"/>
      </w:pPr>
      <w:r>
        <w:rPr>
          <w:b/>
          <w:bCs/>
        </w:rPr>
        <w:t>6.1. La dichiarazione contenuta a pag. 3 dell’istanza.</w:t>
      </w:r>
      <w:r>
        <w:t xml:space="preserve"> Come già rappresentato, il Comune dichiara di «</w:t>
      </w:r>
      <w:r>
        <w:rPr>
          <w:i/>
          <w:iCs/>
        </w:rPr>
        <w:t>non poter presentare richieste di ingresso e attivarsi nella richiesta di disponibilità di strutture</w:t>
      </w:r>
      <w:r>
        <w:t>» in quanto «</w:t>
      </w:r>
      <w:r>
        <w:rPr>
          <w:i/>
          <w:iCs/>
        </w:rPr>
        <w:t>non avendo potere di rappresentanza</w:t>
      </w:r>
      <w:r>
        <w:t xml:space="preserve">». La formulazione, oltre a essere fondata su un equivoco strutturale - atteso che l’esercizio della funzione di co-progettazione </w:t>
      </w:r>
      <w:r>
        <w:rPr>
          <w:i/>
          <w:iCs/>
        </w:rPr>
        <w:t>ex</w:t>
      </w:r>
      <w:r>
        <w:t xml:space="preserve"> art. 14 L. 328/2000 non richiede il «</w:t>
      </w:r>
      <w:r>
        <w:rPr>
          <w:i/>
          <w:iCs/>
        </w:rPr>
        <w:t>potere di rappresentanza</w:t>
      </w:r>
      <w:r>
        <w:t xml:space="preserve">» del beneficiario, trattandosi di potestà pubblicistica esercitata </w:t>
      </w:r>
      <w:r>
        <w:rPr>
          <w:i/>
          <w:iCs/>
        </w:rPr>
        <w:t>iure proprio</w:t>
      </w:r>
      <w:r>
        <w:t xml:space="preserve"> dall’ente locale -, integra dichiarazione confessoria di astensione dai propri compiti istituzionali.</w:t>
      </w:r>
    </w:p>
    <w:p w14:paraId="28A482CF" w14:textId="7E0DA7BA" w:rsidR="00AB52E8" w:rsidRDefault="00000000">
      <w:pPr>
        <w:jc w:val="both"/>
      </w:pPr>
      <w:r>
        <w:rPr>
          <w:b/>
          <w:bCs/>
        </w:rPr>
        <w:t>6.2. L’art. 14 L. 328/2000 non richiede potere di rappresentanza del beneficiario.</w:t>
      </w:r>
      <w:r>
        <w:t xml:space="preserve"> L’art. 14 L. 328/2000 attribuisce ai Comuni la competenza alla predisposizione del progetto individuale «</w:t>
      </w:r>
      <w:r>
        <w:rPr>
          <w:i/>
          <w:iCs/>
        </w:rPr>
        <w:t>su richiesta dell’interessato</w:t>
      </w:r>
      <w:r>
        <w:t xml:space="preserve">». Il presupposto della richiesta - pacificamente integrato </w:t>
      </w:r>
      <w:r>
        <w:lastRenderedPageBreak/>
        <w:t xml:space="preserve">dall’istanza </w:t>
      </w:r>
      <w:proofErr w:type="spellStart"/>
      <w:r>
        <w:t>dell’AdS</w:t>
      </w:r>
      <w:proofErr w:type="spellEnd"/>
      <w:r>
        <w:t xml:space="preserve"> del 28 aprile 2026 - non integra esercizio di rappresentanza in nome del beneficiario, bensì attivazione di un procedimento amministrativo </w:t>
      </w:r>
      <w:r>
        <w:rPr>
          <w:i/>
          <w:iCs/>
        </w:rPr>
        <w:t>ex</w:t>
      </w:r>
      <w:r>
        <w:t xml:space="preserve"> L. 7 agosto 1990, n. 241.</w:t>
      </w:r>
    </w:p>
    <w:p w14:paraId="4A3AFD77" w14:textId="77777777" w:rsidR="00AB52E8" w:rsidRDefault="00000000">
      <w:pPr>
        <w:jc w:val="both"/>
      </w:pPr>
      <w:r>
        <w:rPr>
          <w:b/>
          <w:bCs/>
        </w:rPr>
        <w:t>6.3. La risposta del Comune sull’istanza ex art. 14 L. 328/2000.</w:t>
      </w:r>
      <w:r>
        <w:t xml:space="preserve"> La motivazione del Comune secondo cui «</w:t>
      </w:r>
      <w:r>
        <w:rPr>
          <w:i/>
          <w:iCs/>
        </w:rPr>
        <w:t>di fatto […] non c’è alcun progetto da predisporre, bensì il collocamento</w:t>
      </w:r>
      <w:r>
        <w:t>» è giuridicamente inconsistente. L’art. 14 L. 328/2000 non ammette deroghe al dovere di predisposizione del progetto in ragione del fatto che la prestazione consisterebbe nel mero «</w:t>
      </w:r>
      <w:r>
        <w:rPr>
          <w:i/>
          <w:iCs/>
        </w:rPr>
        <w:t>collocamento</w:t>
      </w:r>
      <w:r>
        <w:t xml:space="preserve">»: il collocamento residenziale è una delle prestazioni che il progetto individuale è chiamato a contenere. Il Comune confonde il </w:t>
      </w:r>
      <w:r>
        <w:rPr>
          <w:i/>
          <w:iCs/>
        </w:rPr>
        <w:t>contenuto</w:t>
      </w:r>
      <w:r>
        <w:t xml:space="preserve"> del progetto con la sua </w:t>
      </w:r>
      <w:r>
        <w:rPr>
          <w:i/>
          <w:iCs/>
        </w:rPr>
        <w:t>esistenza</w:t>
      </w:r>
      <w:r>
        <w:t>.</w:t>
      </w:r>
    </w:p>
    <w:p w14:paraId="541A95E5" w14:textId="77777777" w:rsidR="00AB52E8" w:rsidRPr="00C460AB" w:rsidRDefault="00000000">
      <w:pPr>
        <w:spacing w:before="240"/>
        <w:jc w:val="both"/>
        <w:rPr>
          <w:sz w:val="28"/>
          <w:szCs w:val="28"/>
        </w:rPr>
      </w:pPr>
      <w:r>
        <w:rPr>
          <w:b/>
          <w:bCs/>
          <w:sz w:val="28"/>
          <w:szCs w:val="28"/>
        </w:rPr>
        <w:t>7. La natura di atto di straordinaria amministrazione della sottoscrizione del modulo di ricovero di sollievo</w:t>
      </w:r>
    </w:p>
    <w:p w14:paraId="1AF55FF7" w14:textId="57EBDAD9" w:rsidR="00AB52E8" w:rsidRDefault="00000000">
      <w:pPr>
        <w:jc w:val="both"/>
      </w:pPr>
      <w:r>
        <w:rPr>
          <w:b/>
          <w:bCs/>
        </w:rPr>
        <w:t>7.1. Il fondamento testuale nel decreto di nomina.</w:t>
      </w:r>
      <w:r>
        <w:t xml:space="preserve"> Il decreto di nomina del 13 maggio 2024 espressamente «</w:t>
      </w:r>
      <w:r>
        <w:rPr>
          <w:i/>
          <w:iCs/>
        </w:rPr>
        <w:t>subordina alla preventiva autorizzazione del Giudice Tutelare ogni altro atto di straordinaria amministrazione indicato dagli artt. 374 e 375 c.c., nonché quelli che incidono notevolmente sul patrimonio del beneficiario (in considerazione della sua concreta situazione economica) o che comportano assunzione di debiti o obbligazioni (es: mutui, finanziarie, pagamenti rateali ecc.)</w:t>
      </w:r>
      <w:r>
        <w:t xml:space="preserve">». La sottoscrizione del modulo di ricovero di sollievo, nella misura in cui comporta </w:t>
      </w:r>
      <w:r>
        <w:rPr>
          <w:i/>
          <w:iCs/>
        </w:rPr>
        <w:t>i)</w:t>
      </w:r>
      <w:r>
        <w:t xml:space="preserve"> l’assunzione di obbligazioni economiche rilevanti (retta giornaliera e penale per dimissione anticipata) e </w:t>
      </w:r>
      <w:r>
        <w:rPr>
          <w:i/>
          <w:iCs/>
        </w:rPr>
        <w:t>ii)</w:t>
      </w:r>
      <w:r>
        <w:t xml:space="preserve"> il mutamento della collocazione abitativa del beneficiario - espressamente qualificato dallo stesso decreto quale circostanza incidente notevolmente sulla sfera personale (cfr. </w:t>
      </w:r>
      <w:proofErr w:type="spellStart"/>
      <w:r>
        <w:t>supra</w:t>
      </w:r>
      <w:proofErr w:type="spellEnd"/>
      <w:r>
        <w:t xml:space="preserve"> § 5.4) -, ricade sotto due profili distinti e cumulativi nel perimetro degli atti soggetti a previa autorizzazione del Giudice Tutelare ai sensi degli artt. 374-375 c.c., richiamati dall’art. 411 c.c., e dello stesso decreto di nomina. Si rileva, per completezza, che a norma dell’</w:t>
      </w:r>
      <w:r>
        <w:rPr>
          <w:b/>
          <w:bCs/>
        </w:rPr>
        <w:t>art. 412 c.c.</w:t>
      </w:r>
      <w:r>
        <w:t xml:space="preserve"> gli atti compiuti </w:t>
      </w:r>
      <w:proofErr w:type="spellStart"/>
      <w:r>
        <w:t>dall’AdS</w:t>
      </w:r>
      <w:proofErr w:type="spellEnd"/>
      <w:r>
        <w:t xml:space="preserve"> in violazione delle disposizioni di legge o delle disposizioni del Giudice Tutelare, ovvero in difetto della prescritta autorizzazione, sono annullabili su istanza dello stesso </w:t>
      </w:r>
      <w:proofErr w:type="spellStart"/>
      <w:r>
        <w:t>AdS</w:t>
      </w:r>
      <w:proofErr w:type="spellEnd"/>
      <w:r>
        <w:t xml:space="preserve">, del Pubblico Ministero, del beneficiario o dei suoi eredi e aventi causa. La scelta della scrivente di non sottoscrivere il modulo di ricovero di sollievo in difetto di previa autorizzazione del Giudice Tutelare non integra dunque inerzia, ma adempimento di un dovere di diligenza posto a presidio del beneficiario, nel solco del ponderato bilanciamento - di recente ribadito dalla giurisprudenza di legittimità (cfr. </w:t>
      </w:r>
      <w:r>
        <w:rPr>
          <w:b/>
          <w:bCs/>
        </w:rPr>
        <w:t xml:space="preserve">Cass. civ., Sez. I, </w:t>
      </w:r>
      <w:proofErr w:type="spellStart"/>
      <w:r>
        <w:rPr>
          <w:b/>
          <w:bCs/>
        </w:rPr>
        <w:t>ord</w:t>
      </w:r>
      <w:proofErr w:type="spellEnd"/>
      <w:r>
        <w:rPr>
          <w:b/>
          <w:bCs/>
        </w:rPr>
        <w:t>. 22 gennaio 2026, n. 1396</w:t>
      </w:r>
      <w:r>
        <w:t>) - tra esigenze di protezione e diritti di pari rango del beneficiario, tra cui «</w:t>
      </w:r>
      <w:r>
        <w:rPr>
          <w:i/>
          <w:iCs/>
        </w:rPr>
        <w:t>il diritto alla salute; il diritto ad una condizione di vita dignitosa e non esposta a pericoli</w:t>
      </w:r>
      <w:r>
        <w:t>».</w:t>
      </w:r>
    </w:p>
    <w:p w14:paraId="526F3E2D" w14:textId="63472A6C" w:rsidR="00AB52E8" w:rsidRDefault="00000000">
      <w:pPr>
        <w:jc w:val="both"/>
      </w:pPr>
      <w:r>
        <w:rPr>
          <w:b/>
          <w:bCs/>
          <w:sz w:val="28"/>
          <w:szCs w:val="28"/>
        </w:rPr>
        <w:t>7.2. La conferma offerta dalla giurisprudenza di legittimità.</w:t>
      </w:r>
      <w:r>
        <w:t xml:space="preserve"> La Corte di Cassazione ha sul punto ribadito che l’individuazione degli atti di straordinaria amministrazione soggetti ad autorizzazione del giudice tutelare deve essere compiuta tenendo conto degli effetti economici dell’atto in concreto autorizzato (cfr. </w:t>
      </w:r>
      <w:r>
        <w:rPr>
          <w:b/>
          <w:bCs/>
        </w:rPr>
        <w:t xml:space="preserve">Cass. civ., Sez. I, </w:t>
      </w:r>
      <w:proofErr w:type="spellStart"/>
      <w:r>
        <w:rPr>
          <w:b/>
          <w:bCs/>
        </w:rPr>
        <w:t>ord</w:t>
      </w:r>
      <w:proofErr w:type="spellEnd"/>
      <w:r>
        <w:rPr>
          <w:b/>
          <w:bCs/>
        </w:rPr>
        <w:t>. 7 marzo 2022, n. 7420</w:t>
      </w:r>
      <w:r>
        <w:t xml:space="preserve"> - </w:t>
      </w:r>
      <w:r>
        <w:rPr>
          <w:b/>
          <w:bCs/>
        </w:rPr>
        <w:t>All. 5 alla relazione del 27 aprile 2026</w:t>
      </w:r>
      <w:r>
        <w:t xml:space="preserve">). Nel caso di specie, l’effetto economico è </w:t>
      </w:r>
      <w:r>
        <w:rPr>
          <w:i/>
          <w:iCs/>
        </w:rPr>
        <w:t>i)</w:t>
      </w:r>
      <w:r>
        <w:t xml:space="preserve"> certo nella sua sussistenza (retta e penale); </w:t>
      </w:r>
      <w:r>
        <w:rPr>
          <w:i/>
          <w:iCs/>
        </w:rPr>
        <w:t>ii)</w:t>
      </w:r>
      <w:r>
        <w:t xml:space="preserve"> rilevante nel </w:t>
      </w:r>
      <w:r>
        <w:rPr>
          <w:i/>
          <w:iCs/>
        </w:rPr>
        <w:t>quantum</w:t>
      </w:r>
      <w:r>
        <w:t xml:space="preserve">, ove rapportato alle risorse del beneficiario; </w:t>
      </w:r>
      <w:r>
        <w:rPr>
          <w:i/>
          <w:iCs/>
        </w:rPr>
        <w:t>iii)</w:t>
      </w:r>
      <w:r>
        <w:t xml:space="preserve"> suscettibile di estensione ulteriore in ipotesi di «</w:t>
      </w:r>
      <w:r>
        <w:rPr>
          <w:i/>
          <w:iCs/>
        </w:rPr>
        <w:t>sollievo a catena</w:t>
      </w:r>
      <w:r>
        <w:t>» senza progetto strutturato, vale a dire in assenza tanto di una struttura individuata per il sollievo successivo, quanto di una tempistica definita di ammissione in RSA.</w:t>
      </w:r>
    </w:p>
    <w:p w14:paraId="10B12E13" w14:textId="77777777" w:rsidR="00AB52E8" w:rsidRPr="008345CE" w:rsidRDefault="00000000">
      <w:pPr>
        <w:spacing w:before="240"/>
        <w:jc w:val="both"/>
        <w:rPr>
          <w:sz w:val="28"/>
          <w:szCs w:val="28"/>
        </w:rPr>
      </w:pPr>
      <w:r>
        <w:rPr>
          <w:b/>
          <w:bCs/>
          <w:sz w:val="28"/>
          <w:szCs w:val="28"/>
        </w:rPr>
        <w:lastRenderedPageBreak/>
        <w:t>8. Il calcolo della quota sociale della retta sul nucleo ristretto del solo beneficiario</w:t>
      </w:r>
    </w:p>
    <w:p w14:paraId="78414DB0" w14:textId="77777777" w:rsidR="00AB52E8" w:rsidRDefault="00000000">
      <w:pPr>
        <w:jc w:val="both"/>
      </w:pPr>
      <w:r>
        <w:rPr>
          <w:b/>
          <w:bCs/>
        </w:rPr>
        <w:t xml:space="preserve">8.1. </w:t>
      </w:r>
      <w:r>
        <w:t>Sul punto si rinvia integralmente a quanto rappresentato nella relazione del 27 aprile 2026. Si ribadisce che il sig. Colnaghi è celibe, privo di figli, con entrambi i genitori deceduti (padre nel 1991, madre nel 2012). Ai sensi dell’</w:t>
      </w:r>
      <w:r>
        <w:rPr>
          <w:b/>
          <w:bCs/>
        </w:rPr>
        <w:t xml:space="preserve">art. 6, comma 3, del </w:t>
      </w:r>
      <w:proofErr w:type="spellStart"/>
      <w:r>
        <w:rPr>
          <w:b/>
          <w:bCs/>
        </w:rPr>
        <w:t>d.P.C.M.</w:t>
      </w:r>
      <w:proofErr w:type="spellEnd"/>
      <w:r>
        <w:rPr>
          <w:b/>
          <w:bCs/>
        </w:rPr>
        <w:t xml:space="preserve"> 5 dicembre 2013, n. 159</w:t>
      </w:r>
      <w:r>
        <w:t xml:space="preserve">, il nucleo familiare del beneficiario è composto esclusivamente dallo stesso, con esclusione </w:t>
      </w:r>
      <w:r>
        <w:rPr>
          <w:i/>
          <w:iCs/>
        </w:rPr>
        <w:t>ex lege</w:t>
      </w:r>
      <w:r>
        <w:t xml:space="preserve"> delle sorelle.</w:t>
      </w:r>
    </w:p>
    <w:p w14:paraId="7C4E6161" w14:textId="28B61BE5" w:rsidR="00AB52E8" w:rsidRDefault="00000000">
      <w:pPr>
        <w:jc w:val="both"/>
      </w:pPr>
      <w:r>
        <w:rPr>
          <w:b/>
          <w:bCs/>
        </w:rPr>
        <w:t xml:space="preserve">8.2. </w:t>
      </w:r>
      <w:r>
        <w:t xml:space="preserve">La giurisprudenza di legittimità, nei precedenti richiamati e prodotti in atti (cfr. </w:t>
      </w:r>
      <w:r>
        <w:rPr>
          <w:b/>
          <w:bCs/>
        </w:rPr>
        <w:t>Cass. civ., Sez. I, n. 4558/2012</w:t>
      </w:r>
      <w:r>
        <w:t xml:space="preserve"> – </w:t>
      </w:r>
      <w:r>
        <w:rPr>
          <w:b/>
          <w:bCs/>
        </w:rPr>
        <w:t>All. 6 alla relazione del 27 aprile 2026</w:t>
      </w:r>
      <w:r>
        <w:t xml:space="preserve">; </w:t>
      </w:r>
      <w:r>
        <w:rPr>
          <w:b/>
          <w:bCs/>
        </w:rPr>
        <w:t>Cass. civ., Sez. Lav., n. 22776/2016</w:t>
      </w:r>
      <w:r>
        <w:t xml:space="preserve"> - </w:t>
      </w:r>
      <w:r>
        <w:rPr>
          <w:b/>
          <w:bCs/>
        </w:rPr>
        <w:t>All. 7</w:t>
      </w:r>
      <w:r>
        <w:t xml:space="preserve">), ha confermato la non </w:t>
      </w:r>
      <w:proofErr w:type="spellStart"/>
      <w:r>
        <w:t>rivalsabilità</w:t>
      </w:r>
      <w:proofErr w:type="spellEnd"/>
      <w:r>
        <w:t xml:space="preserve"> delle prestazioni socio-sanitarie a favore di soggetti con grave psicopatologia cronica nei confronti dei familiari del beneficiario. L’orientamento risulta da ultimo consolidato da </w:t>
      </w:r>
      <w:r>
        <w:rPr>
          <w:b/>
          <w:bCs/>
        </w:rPr>
        <w:t xml:space="preserve">Cass. civ., Sez. I, </w:t>
      </w:r>
      <w:proofErr w:type="spellStart"/>
      <w:r>
        <w:rPr>
          <w:b/>
          <w:bCs/>
        </w:rPr>
        <w:t>sent</w:t>
      </w:r>
      <w:proofErr w:type="spellEnd"/>
      <w:r>
        <w:rPr>
          <w:b/>
          <w:bCs/>
        </w:rPr>
        <w:t>. 14 ottobre 2025, n. 27452</w:t>
      </w:r>
      <w:r>
        <w:t xml:space="preserve">, la quale, in continuità con le pronunce sopra richiamate, ha ribadito che le prestazioni rese in favore del malato psichico rientrano tra le prestazioni socio-assistenziali ad elevata integrazione sanitaria di cui all’art. 3, comma 3, del </w:t>
      </w:r>
      <w:proofErr w:type="spellStart"/>
      <w:r>
        <w:t>d.P.C.M.</w:t>
      </w:r>
      <w:proofErr w:type="spellEnd"/>
      <w:r>
        <w:t xml:space="preserve"> 14 febbraio 2001, interamente a carico del Servizio Sanitario Nazionale, individuando quale criterio discretivo decisivo la sussistenza di un </w:t>
      </w:r>
      <w:r>
        <w:rPr>
          <w:i/>
          <w:iCs/>
        </w:rPr>
        <w:t>piano terapeutico personalizzato</w:t>
      </w:r>
      <w:r>
        <w:t xml:space="preserve"> inscindibilmente connesso alla prestazione assistenziale. Nel caso di specie, la formalizzazione del Piano Terapeutico Individualizzato - il cui aggiornamento è qui sollecitato all’ASST Bergamo Ovest - CPS Treviglio (cfr. </w:t>
      </w:r>
      <w:r>
        <w:rPr>
          <w:i/>
          <w:iCs/>
        </w:rPr>
        <w:t>infra</w:t>
      </w:r>
      <w:r>
        <w:t>, Richieste sub lett. b) ii) - costituisce dunque non soltanto adempimento doveroso dei servizi sanitari competenti, ma altresì presupposto giuridico per la corretta qualificazione della prestazione e per la conseguente imputazione dei relativi oneri.</w:t>
      </w:r>
    </w:p>
    <w:p w14:paraId="65FABD99" w14:textId="77777777" w:rsidR="00AB52E8" w:rsidRDefault="00000000">
      <w:pPr>
        <w:jc w:val="both"/>
      </w:pPr>
      <w:r>
        <w:rPr>
          <w:b/>
          <w:bCs/>
        </w:rPr>
        <w:t xml:space="preserve">8.3. </w:t>
      </w:r>
      <w:r>
        <w:t>Nel corso della riunione del 30 marzo 2026 documentata nell’</w:t>
      </w:r>
      <w:r>
        <w:rPr>
          <w:b/>
          <w:bCs/>
        </w:rPr>
        <w:t>All. 1 alla relazione del 27 aprile 2026</w:t>
      </w:r>
      <w:r>
        <w:t>, la Dott.ssa Domanico ha espressamente affermato che «</w:t>
      </w:r>
      <w:r>
        <w:rPr>
          <w:i/>
          <w:iCs/>
        </w:rPr>
        <w:t>sulla base dell’ISEE del beneficiario e della retta della struttura dove quest’ultimo sarà collocato, il Comune di Fara Gera d’Adda sarà tenuto a contribuire alla spesa per la sistemazione assistenziale</w:t>
      </w:r>
      <w:r>
        <w:t>». Tale dichiarazione, cristallizzata dall’acquiescenza qualificata sul riepilogo del 3 aprile 2026, integra riconoscimento amministrativo della spettanza della quota sociale a carico dell’Ente locale nei limiti dell’ISEE del solo beneficiario.</w:t>
      </w:r>
    </w:p>
    <w:p w14:paraId="5F487E0E" w14:textId="77777777" w:rsidR="00AB52E8" w:rsidRPr="008345CE" w:rsidRDefault="00000000">
      <w:pPr>
        <w:spacing w:before="240"/>
        <w:jc w:val="both"/>
        <w:rPr>
          <w:sz w:val="28"/>
          <w:szCs w:val="28"/>
        </w:rPr>
      </w:pPr>
      <w:r>
        <w:rPr>
          <w:b/>
          <w:bCs/>
          <w:sz w:val="28"/>
          <w:szCs w:val="28"/>
        </w:rPr>
        <w:t xml:space="preserve">9. L’esaurimento dell’attività diligente esigibile </w:t>
      </w:r>
      <w:proofErr w:type="spellStart"/>
      <w:r>
        <w:rPr>
          <w:b/>
          <w:bCs/>
          <w:sz w:val="28"/>
          <w:szCs w:val="28"/>
        </w:rPr>
        <w:t>dall’AdS</w:t>
      </w:r>
      <w:proofErr w:type="spellEnd"/>
    </w:p>
    <w:p w14:paraId="7B18D95E" w14:textId="04DDC71A" w:rsidR="00AB52E8" w:rsidRDefault="00000000">
      <w:pPr>
        <w:jc w:val="both"/>
      </w:pPr>
      <w:r>
        <w:rPr>
          <w:b/>
          <w:bCs/>
        </w:rPr>
        <w:t xml:space="preserve">9.1. </w:t>
      </w:r>
      <w:r>
        <w:t xml:space="preserve">L’attività svolta </w:t>
      </w:r>
      <w:proofErr w:type="spellStart"/>
      <w:r>
        <w:t>dall’AdS</w:t>
      </w:r>
      <w:proofErr w:type="spellEnd"/>
      <w:r>
        <w:t>, nei limiti delle facoltà conferite dal decreto di nomina e nel perimetro dei doveri di cui all’</w:t>
      </w:r>
      <w:r>
        <w:rPr>
          <w:b/>
          <w:bCs/>
        </w:rPr>
        <w:t>art. 410 c.c.</w:t>
      </w:r>
      <w:r>
        <w:t xml:space="preserve">, deve intendersi compiuta in misura ragionevolmente esigibile, come puntualmente illustrato nella cronologia di cui al precedente § 3. Si rappresenta che </w:t>
      </w:r>
      <w:r>
        <w:rPr>
          <w:i/>
          <w:iCs/>
        </w:rPr>
        <w:t>i)</w:t>
      </w:r>
      <w:r>
        <w:t xml:space="preserve"> tutte le RSA della provincia di Bergamo sono state contattate e attivate in lista d’attesa; </w:t>
      </w:r>
      <w:r>
        <w:rPr>
          <w:i/>
          <w:iCs/>
        </w:rPr>
        <w:t>ii)</w:t>
      </w:r>
      <w:r>
        <w:t xml:space="preserve"> la ricerca è stata estesa a tipologie residenziali diverse (RSD) e a strutture extra-provincia; </w:t>
      </w:r>
      <w:r>
        <w:rPr>
          <w:i/>
          <w:iCs/>
        </w:rPr>
        <w:t>iii)</w:t>
      </w:r>
      <w:r>
        <w:t xml:space="preserve"> ci si è astenuti, in via cautelativa, dalla sottoscrizione di atti privi del necessario supporto progettuale e dell’autorizzazione di codesto Ufficio; </w:t>
      </w:r>
      <w:r>
        <w:rPr>
          <w:i/>
          <w:iCs/>
        </w:rPr>
        <w:t>iv)</w:t>
      </w:r>
      <w:r>
        <w:t xml:space="preserve"> sono state attivate le procedure amministrative di competenza dei servizi (segnatamente, l’istanza </w:t>
      </w:r>
      <w:r>
        <w:rPr>
          <w:i/>
          <w:iCs/>
        </w:rPr>
        <w:t>ex</w:t>
      </w:r>
      <w:r>
        <w:t xml:space="preserve"> art. 14 L. 328/2000 del 28 aprile 2026).</w:t>
      </w:r>
    </w:p>
    <w:p w14:paraId="0357D5C7" w14:textId="6368A7C4" w:rsidR="00AB52E8" w:rsidRDefault="00000000">
      <w:pPr>
        <w:jc w:val="both"/>
      </w:pPr>
      <w:r>
        <w:rPr>
          <w:b/>
          <w:bCs/>
        </w:rPr>
        <w:t xml:space="preserve">9.2. </w:t>
      </w:r>
      <w:r>
        <w:t xml:space="preserve">Quanto residua - l’individuazione concreta di una struttura disponibile entro il 16 luglio 2026 - eccede strutturalmente le facoltà e le competenze </w:t>
      </w:r>
      <w:proofErr w:type="spellStart"/>
      <w:r>
        <w:t>dell’AdS</w:t>
      </w:r>
      <w:proofErr w:type="spellEnd"/>
      <w:r>
        <w:t xml:space="preserve"> e rientra nella sfera di </w:t>
      </w:r>
      <w:r>
        <w:lastRenderedPageBreak/>
        <w:t xml:space="preserve">competenza dei servizi sanitari e sociali, gli unici in grado di operare attraverso i canali istituzionali idonei a sbloccare situazioni di indisponibilità sistemica delle strutture, anche in deroga alle ordinarie graduatorie. Tale circostanza, oltre ad essere normativamente fondata, è documentalmente comprovata, sul caso di specie, dalla vicenda «Anni Sereni» di cui al § 3.4: solo l’intervento tecnico del CPS ha potuto sbloccare lo stallo presso una struttura consorziata, dimostrando che il sistema della rete socio-sanitaria si muove </w:t>
      </w:r>
      <w:r>
        <w:rPr>
          <w:i/>
          <w:iCs/>
        </w:rPr>
        <w:t>in concreto</w:t>
      </w:r>
      <w:r>
        <w:t xml:space="preserve"> soltanto per il tramite degli enti competenti.</w:t>
      </w:r>
    </w:p>
    <w:p w14:paraId="5BB0D2B0" w14:textId="7A90EACE" w:rsidR="00AB52E8" w:rsidRDefault="00000000">
      <w:pPr>
        <w:jc w:val="both"/>
      </w:pPr>
      <w:r>
        <w:rPr>
          <w:b/>
          <w:bCs/>
        </w:rPr>
        <w:t xml:space="preserve">9.3. </w:t>
      </w:r>
      <w:r>
        <w:t xml:space="preserve">Si rappresenta pertanto a codesto Ill.mo Ufficio che ogni conseguenza connessa all’eventuale mancata definizione di una collocazione assistenziale entro la data del 16 luglio 2026 dovrà essere ascritta integralmente ai soggetti istituzionalmente responsabili della presa in carico del beneficiario, e non </w:t>
      </w:r>
      <w:proofErr w:type="spellStart"/>
      <w:r>
        <w:t>all’AdS</w:t>
      </w:r>
      <w:proofErr w:type="spellEnd"/>
      <w:r>
        <w:t>, la quale ha svolto e continuerà a svolgere ogni attività ragionevolmente esigibile, con il limite - invalicabile - della tutela rafforzata del beneficiario, che le impone di non sottoscrivere atti idonei a peggiorarne la condizione assistenziale o a esporlo a soluzioni precarie, ripetitive e prive di garanzie di continuità. Tale limite trova il proprio fondamento, prima ancora che nelle disposizioni di legge, nel concreto interesse del sig. Colnaghi - persona affetta da grave psicopatologia cronica e in carico al CPS di Treviglio da circa quarant’anni - alla stabilità abitativa e alla continuità terapeutica, condizioni essenziali tanto per la sua tenuta clinica quanto per il rispetto, sancito dall’</w:t>
      </w:r>
      <w:r>
        <w:rPr>
          <w:b/>
          <w:bCs/>
        </w:rPr>
        <w:t>art. 410, comma 1, c.c.</w:t>
      </w:r>
      <w:r>
        <w:t>, dei suoi bisogni e delle sue aspirazioni di vita.</w:t>
      </w:r>
    </w:p>
    <w:p w14:paraId="298F87E6" w14:textId="77777777" w:rsidR="00AB52E8" w:rsidRPr="008345CE" w:rsidRDefault="00000000">
      <w:pPr>
        <w:spacing w:before="240"/>
        <w:jc w:val="both"/>
        <w:rPr>
          <w:sz w:val="28"/>
          <w:szCs w:val="28"/>
        </w:rPr>
      </w:pPr>
      <w:r>
        <w:rPr>
          <w:b/>
          <w:bCs/>
          <w:sz w:val="28"/>
          <w:szCs w:val="28"/>
        </w:rPr>
        <w:t xml:space="preserve">10. Sulla eventuale revoca </w:t>
      </w:r>
      <w:proofErr w:type="spellStart"/>
      <w:r>
        <w:rPr>
          <w:b/>
          <w:bCs/>
          <w:sz w:val="28"/>
          <w:szCs w:val="28"/>
        </w:rPr>
        <w:t>dell’AdS</w:t>
      </w:r>
      <w:proofErr w:type="spellEnd"/>
      <w:r>
        <w:rPr>
          <w:b/>
          <w:bCs/>
          <w:sz w:val="28"/>
          <w:szCs w:val="28"/>
        </w:rPr>
        <w:t xml:space="preserve"> e sulla permanenza degli obblighi dei servizi socio-sanitari</w:t>
      </w:r>
    </w:p>
    <w:p w14:paraId="025D53DB" w14:textId="68DC51B3" w:rsidR="00AB52E8" w:rsidRDefault="00000000">
      <w:pPr>
        <w:jc w:val="both"/>
      </w:pPr>
      <w:r>
        <w:rPr>
          <w:b/>
          <w:bCs/>
        </w:rPr>
        <w:t xml:space="preserve">10.1. </w:t>
      </w:r>
      <w:r>
        <w:t>Si rappresenta a codesto Ill.mo Ufficio che, anche nell’ipotesi in cui si ritenesse opportuno procedere alla sostituzione della scrivente ai sensi dell’</w:t>
      </w:r>
      <w:r>
        <w:rPr>
          <w:b/>
          <w:bCs/>
        </w:rPr>
        <w:t>art. 413 c.c.</w:t>
      </w:r>
      <w:r>
        <w:t xml:space="preserve">, la sostanza della vicenda assistenziale del sig. Colnaghi non verrebbe meno: qualunque </w:t>
      </w:r>
      <w:proofErr w:type="spellStart"/>
      <w:r>
        <w:t>AdS</w:t>
      </w:r>
      <w:proofErr w:type="spellEnd"/>
      <w:r>
        <w:t xml:space="preserve"> fosse nominato si troverebbe a operare nel medesimo contesto oggettivo di scarsità di posti in RSA, assenza di un progetto individuale </w:t>
      </w:r>
      <w:r>
        <w:rPr>
          <w:i/>
          <w:iCs/>
        </w:rPr>
        <w:t>ex</w:t>
      </w:r>
      <w:r>
        <w:t xml:space="preserve"> art. 14 L. 328/2000 e mancanza di un percorso di dimissione protetta formalizzato.</w:t>
      </w:r>
    </w:p>
    <w:p w14:paraId="5166AF1B" w14:textId="77777777" w:rsidR="00AB52E8" w:rsidRDefault="00000000">
      <w:pPr>
        <w:jc w:val="both"/>
      </w:pPr>
      <w:r>
        <w:rPr>
          <w:b/>
          <w:bCs/>
        </w:rPr>
        <w:t xml:space="preserve">10.2. </w:t>
      </w:r>
      <w:r>
        <w:t xml:space="preserve">La revoca </w:t>
      </w:r>
      <w:proofErr w:type="spellStart"/>
      <w:r>
        <w:t>dell’AdS</w:t>
      </w:r>
      <w:proofErr w:type="spellEnd"/>
      <w:r>
        <w:t xml:space="preserve"> non può dunque costituire surrettiziamente uno strumento di elusione degli obblighi propri dei servizi sociali e sanitari integrati, cui competono </w:t>
      </w:r>
      <w:r>
        <w:rPr>
          <w:i/>
          <w:iCs/>
        </w:rPr>
        <w:t>ex lege</w:t>
      </w:r>
      <w:r>
        <w:t xml:space="preserve"> l’individuazione della collocazione residenziale e la predisposizione del progetto individuale.</w:t>
      </w:r>
    </w:p>
    <w:p w14:paraId="6B5881A4" w14:textId="77777777" w:rsidR="00AB52E8" w:rsidRDefault="00000000">
      <w:pPr>
        <w:jc w:val="both"/>
      </w:pPr>
      <w:r>
        <w:rPr>
          <w:b/>
          <w:bCs/>
        </w:rPr>
        <w:t xml:space="preserve">10.3. </w:t>
      </w:r>
      <w:r>
        <w:t xml:space="preserve">La scrivente </w:t>
      </w:r>
      <w:proofErr w:type="spellStart"/>
      <w:r>
        <w:t>AdS</w:t>
      </w:r>
      <w:proofErr w:type="spellEnd"/>
      <w:r>
        <w:t>, priva di interesse personale alla permanenza nell’incarico, dichiara sin d’ora di rimettersi alle valutazioni di codesto Ill.mo Ufficio quanto all’eventuale prosecuzione o sostituzione della misura; ciò nondimeno, reputa doveroso segnalare che l’intervento decisivo del Giudice Tutelare deve concentrarsi sull’accertamento e sulla formale sollecitazione degli adempimenti incombenti su Comune e ASST.</w:t>
      </w:r>
    </w:p>
    <w:p w14:paraId="3D725176" w14:textId="77777777" w:rsidR="00AB52E8" w:rsidRDefault="00AB52E8"/>
    <w:p w14:paraId="65ABF076" w14:textId="77777777" w:rsidR="00AB52E8" w:rsidRDefault="00000000">
      <w:pPr>
        <w:jc w:val="center"/>
      </w:pPr>
      <w:r>
        <w:rPr>
          <w:b/>
          <w:bCs/>
        </w:rPr>
        <w:t>RICHIESTE</w:t>
      </w:r>
    </w:p>
    <w:p w14:paraId="1034BB7B" w14:textId="3D96EF92" w:rsidR="00AB52E8" w:rsidRDefault="00000000">
      <w:pPr>
        <w:jc w:val="both"/>
      </w:pPr>
      <w:r>
        <w:t xml:space="preserve">Tutto ciò premesso, la sottoscritta Prof.ssa Alice Melocchi, in qualità di </w:t>
      </w:r>
      <w:proofErr w:type="spellStart"/>
      <w:r>
        <w:t>AdS</w:t>
      </w:r>
      <w:proofErr w:type="spellEnd"/>
      <w:r>
        <w:t xml:space="preserve"> del sig. Walter Andrea Colnaghi, rassegnando integralmente le richieste già formulate con la relazione del 27 </w:t>
      </w:r>
      <w:r>
        <w:lastRenderedPageBreak/>
        <w:t>aprile 2026, alle quali si rinvia, chiede rispettosamente a codesto Ill.mo Giudice Tutelare di voler:</w:t>
      </w:r>
    </w:p>
    <w:p w14:paraId="520924A4" w14:textId="77777777" w:rsidR="00AB52E8" w:rsidRDefault="00000000">
      <w:pPr>
        <w:jc w:val="both"/>
      </w:pPr>
      <w:r>
        <w:rPr>
          <w:b/>
          <w:bCs/>
        </w:rPr>
        <w:t>a) in via principale</w:t>
      </w:r>
      <w:r>
        <w:t xml:space="preserve">, prendere atto della replica formulata con il presente atto e disattendere integralmente i rilievi mossi all’operato </w:t>
      </w:r>
      <w:proofErr w:type="spellStart"/>
      <w:r>
        <w:t>dell’AdS</w:t>
      </w:r>
      <w:proofErr w:type="spellEnd"/>
      <w:r>
        <w:t xml:space="preserve"> dal Comune di Fara Gera d’Adda con istanza Prot. n. 7011 del 18 maggio 2026 (Ist. n. 7 </w:t>
      </w:r>
      <w:proofErr w:type="spellStart"/>
      <w:r>
        <w:t>dep</w:t>
      </w:r>
      <w:proofErr w:type="spellEnd"/>
      <w:r>
        <w:t xml:space="preserve">. 20 maggio 2026), avendo </w:t>
      </w:r>
      <w:proofErr w:type="spellStart"/>
      <w:r>
        <w:t>l’AdS</w:t>
      </w:r>
      <w:proofErr w:type="spellEnd"/>
      <w:r>
        <w:t xml:space="preserve"> svolto con la massima diligenza ogni attività ragionevolmente esigibile nei limiti delle competenze conferite dal decreto di nomina del 13 maggio 2024, come puntualmente illustrato nella cronologia di cui al § 3 del presente atto;</w:t>
      </w:r>
    </w:p>
    <w:p w14:paraId="43CF81F1" w14:textId="0923202F" w:rsidR="00AB52E8" w:rsidRDefault="00000000">
      <w:pPr>
        <w:jc w:val="both"/>
      </w:pPr>
      <w:r>
        <w:rPr>
          <w:b/>
          <w:bCs/>
        </w:rPr>
        <w:t>b) in via principale e contestuale</w:t>
      </w:r>
      <w:r>
        <w:t xml:space="preserve">, nell’udienza del 3 luglio 2026, esercitare i poteri di </w:t>
      </w:r>
      <w:r>
        <w:rPr>
          <w:i/>
          <w:iCs/>
        </w:rPr>
        <w:t>direzione e impulso</w:t>
      </w:r>
      <w:r>
        <w:t xml:space="preserve"> riconosciuti a codesto Ill.mo Ufficio dall’</w:t>
      </w:r>
      <w:r>
        <w:rPr>
          <w:b/>
          <w:bCs/>
        </w:rPr>
        <w:t>art. 44 disp. att. c.c.</w:t>
      </w:r>
      <w:r>
        <w:t xml:space="preserve"> anche nei confronti dei soggetti istituzionali convocati, e segnatamente: </w:t>
      </w:r>
      <w:r>
        <w:rPr>
          <w:i/>
          <w:iCs/>
        </w:rPr>
        <w:t>i)</w:t>
      </w:r>
      <w:r>
        <w:t xml:space="preserve"> sollecitare formalmente il Comune di Fara Gera d’Adda a chiarire e formalizzare le iniziative concretamente assunte ovvero da assumere, entro un termine congruo non superiore a sette giorni dall’udienza, per l’attivazione del procedimento di predisposizione del progetto individuale </w:t>
      </w:r>
      <w:r>
        <w:rPr>
          <w:i/>
          <w:iCs/>
        </w:rPr>
        <w:t>ex</w:t>
      </w:r>
      <w:r>
        <w:t xml:space="preserve"> art. 14 L. 328/2000, già sollecitato con istanza </w:t>
      </w:r>
      <w:proofErr w:type="spellStart"/>
      <w:r>
        <w:t>dell’AdS</w:t>
      </w:r>
      <w:proofErr w:type="spellEnd"/>
      <w:r>
        <w:t xml:space="preserve"> del 28 aprile 2026; </w:t>
      </w:r>
      <w:r>
        <w:rPr>
          <w:i/>
          <w:iCs/>
        </w:rPr>
        <w:t>ii)</w:t>
      </w:r>
      <w:r>
        <w:t xml:space="preserve"> sollecitare formalmente l’ASST Bergamo Ovest - CPS Treviglio a trasmettere, nel medesimo termine, il Piano Terapeutico Individualizzato aggiornato e a formalizzare il percorso di dimissione protetta; </w:t>
      </w:r>
      <w:r>
        <w:rPr>
          <w:i/>
          <w:iCs/>
        </w:rPr>
        <w:t>iii)</w:t>
      </w:r>
      <w:r>
        <w:t xml:space="preserve"> prendere atto della dichiarazione confessoria del Comune circa il calcolo della quota sociale sul nucleo ristretto del solo beneficiario;</w:t>
      </w:r>
    </w:p>
    <w:p w14:paraId="0AB8D6A4" w14:textId="77777777" w:rsidR="00AB52E8" w:rsidRDefault="00000000">
      <w:pPr>
        <w:jc w:val="both"/>
      </w:pPr>
      <w:r>
        <w:rPr>
          <w:b/>
          <w:bCs/>
        </w:rPr>
        <w:t>c) in via subordinata</w:t>
      </w:r>
      <w:r>
        <w:t xml:space="preserve"> e solo all’esito dei chiarimenti istituzionali sub b), ove e solo ove all’esito dell’udienza risulti documentalmente accertata la totale indisponibilità di alternative strutturali adeguate entro il 16 luglio 2026 e i servizi formalizzino a verbale un cronoprogramma di transizione verso la collocazione definitiva con termine massimo non superiore a sessanta giorni, valutare l’eventuale autorizzazione alla sottoscrizione del modulo di ricovero di sollievo, restando espressamente esclusa qualsiasi autorizzazione: </w:t>
      </w:r>
      <w:r>
        <w:rPr>
          <w:i/>
          <w:iCs/>
        </w:rPr>
        <w:t>i)</w:t>
      </w:r>
      <w:r>
        <w:t xml:space="preserve"> generica; </w:t>
      </w:r>
      <w:r>
        <w:rPr>
          <w:i/>
          <w:iCs/>
        </w:rPr>
        <w:t>ii)</w:t>
      </w:r>
      <w:r>
        <w:t xml:space="preserve"> a tempo indeterminato; </w:t>
      </w:r>
      <w:r>
        <w:rPr>
          <w:i/>
          <w:iCs/>
        </w:rPr>
        <w:t>iii)</w:t>
      </w:r>
      <w:r>
        <w:t xml:space="preserve"> priva di ancoraggio a struttura specificamente individuata e a progetto assistenziale formalizzato; </w:t>
      </w:r>
      <w:r>
        <w:rPr>
          <w:i/>
          <w:iCs/>
        </w:rPr>
        <w:t>iv)</w:t>
      </w:r>
      <w:r>
        <w:t xml:space="preserve"> implicante passaggi seriali tra strutture diverse di sollievo;</w:t>
      </w:r>
    </w:p>
    <w:p w14:paraId="700F0E1E" w14:textId="77777777" w:rsidR="00AB52E8" w:rsidRDefault="00000000">
      <w:pPr>
        <w:jc w:val="both"/>
      </w:pPr>
      <w:r>
        <w:rPr>
          <w:b/>
          <w:bCs/>
        </w:rPr>
        <w:t>d) in via ulteriormente subordinata e cautelativa</w:t>
      </w:r>
      <w:r>
        <w:t xml:space="preserve">, ove dovesse risultare che alla data del 16 luglio 2026 non sussista alcuna soluzione assistenziale praticabile per il beneficiario, valutare l’opportunità, </w:t>
      </w:r>
      <w:r>
        <w:rPr>
          <w:i/>
          <w:iCs/>
        </w:rPr>
        <w:t>ex officio</w:t>
      </w:r>
      <w:r>
        <w:t xml:space="preserve"> o </w:t>
      </w:r>
      <w:r>
        <w:rPr>
          <w:i/>
          <w:iCs/>
        </w:rPr>
        <w:t>ex</w:t>
      </w:r>
      <w:r>
        <w:t xml:space="preserve"> sollecitazione delle parti interessate, dell’adozione di ogni provvedimento ritenuto idoneo a evitare la cessazione della presa in carico del beneficiario in difetto di alternative, ivi compresa l’eventuale interlocuzione con i soggetti istituzionali competenti perché venga assicurata la continuità del ricovero presso la struttura attualmente ospitante sino al perfezionamento di una collocazione idonea;</w:t>
      </w:r>
    </w:p>
    <w:p w14:paraId="0C9D8C1D" w14:textId="77777777" w:rsidR="00AB52E8" w:rsidRDefault="00000000">
      <w:pPr>
        <w:jc w:val="both"/>
      </w:pPr>
      <w:r>
        <w:rPr>
          <w:b/>
          <w:bCs/>
        </w:rPr>
        <w:t>e) in ogni caso</w:t>
      </w:r>
      <w:r>
        <w:t xml:space="preserve">, adottare ogni ulteriore provvedimento ritenuto opportuno a tutela del beneficiario, dando atto che </w:t>
      </w:r>
      <w:proofErr w:type="spellStart"/>
      <w:r>
        <w:t>l’AdS</w:t>
      </w:r>
      <w:proofErr w:type="spellEnd"/>
      <w:r>
        <w:t xml:space="preserve"> ha svolto ogni attività ragionevolmente esigibile e che ogni ulteriore conseguenza dipende dalla condotta dei soggetti istituzionalmente competenti.</w:t>
      </w:r>
    </w:p>
    <w:p w14:paraId="1314E7B7" w14:textId="77777777" w:rsidR="00AB52E8" w:rsidRDefault="00AB52E8"/>
    <w:p w14:paraId="240A0D48" w14:textId="77777777" w:rsidR="00AB52E8" w:rsidRDefault="00000000">
      <w:r>
        <w:rPr>
          <w:b/>
          <w:bCs/>
        </w:rPr>
        <w:t>Allegati:</w:t>
      </w:r>
    </w:p>
    <w:p w14:paraId="30AC46AB" w14:textId="77777777" w:rsidR="00AB52E8" w:rsidRDefault="00000000">
      <w:r>
        <w:rPr>
          <w:b/>
          <w:bCs/>
        </w:rPr>
        <w:t xml:space="preserve">1. </w:t>
      </w:r>
      <w:r>
        <w:t xml:space="preserve">Relazione urgente </w:t>
      </w:r>
      <w:proofErr w:type="spellStart"/>
      <w:r>
        <w:t>dell’AdS</w:t>
      </w:r>
      <w:proofErr w:type="spellEnd"/>
      <w:r>
        <w:t xml:space="preserve"> del 27 aprile 2026, con i propri allegati (richiamata </w:t>
      </w:r>
      <w:proofErr w:type="spellStart"/>
      <w:r>
        <w:rPr>
          <w:i/>
          <w:iCs/>
        </w:rPr>
        <w:t>brevitatis</w:t>
      </w:r>
      <w:proofErr w:type="spellEnd"/>
      <w:r>
        <w:rPr>
          <w:i/>
          <w:iCs/>
        </w:rPr>
        <w:t xml:space="preserve"> causa</w:t>
      </w:r>
      <w:r>
        <w:t xml:space="preserve"> come </w:t>
      </w:r>
      <w:r>
        <w:rPr>
          <w:b/>
          <w:bCs/>
        </w:rPr>
        <w:t>All. A</w:t>
      </w:r>
      <w:r>
        <w:t>);</w:t>
      </w:r>
    </w:p>
    <w:p w14:paraId="5C1FDAD9" w14:textId="77777777" w:rsidR="00AB52E8" w:rsidRDefault="00000000">
      <w:r>
        <w:rPr>
          <w:b/>
          <w:bCs/>
        </w:rPr>
        <w:lastRenderedPageBreak/>
        <w:t xml:space="preserve">2. </w:t>
      </w:r>
      <w:r>
        <w:t xml:space="preserve">Istanza del Comune di Fara Gera d’Adda Prot. n. 7011 del 18 maggio 2026, depositata in data 20 maggio 2026 sub Ist. n. 7 (richiamata come </w:t>
      </w:r>
      <w:r>
        <w:rPr>
          <w:b/>
          <w:bCs/>
        </w:rPr>
        <w:t>All. B</w:t>
      </w:r>
      <w:r>
        <w:t>);</w:t>
      </w:r>
    </w:p>
    <w:p w14:paraId="4D1B90AC" w14:textId="77777777" w:rsidR="00AB52E8" w:rsidRDefault="00000000">
      <w:r>
        <w:rPr>
          <w:b/>
          <w:bCs/>
        </w:rPr>
        <w:t xml:space="preserve">3. </w:t>
      </w:r>
      <w:r>
        <w:t>Estratto del portale gestionale «</w:t>
      </w:r>
      <w:proofErr w:type="spellStart"/>
      <w:r>
        <w:t>WaitingList</w:t>
      </w:r>
      <w:proofErr w:type="spellEnd"/>
      <w:r>
        <w:t xml:space="preserve">» della Regione Lombardia, recante l’elenco delle strutture residenziali presso le quali il sig. Walter Andrea Colnaghi risultava in lista di attesa alla data del 30 dicembre 2025 (richiamato come </w:t>
      </w:r>
      <w:r>
        <w:rPr>
          <w:b/>
          <w:bCs/>
        </w:rPr>
        <w:t>All. C</w:t>
      </w:r>
      <w:r>
        <w:t>).</w:t>
      </w:r>
    </w:p>
    <w:p w14:paraId="2F9E2279" w14:textId="77777777" w:rsidR="008345CE" w:rsidRDefault="008345CE">
      <w:pPr>
        <w:jc w:val="both"/>
      </w:pPr>
    </w:p>
    <w:p w14:paraId="2E816EF6" w14:textId="0F2C3FF4" w:rsidR="00AB52E8" w:rsidRDefault="00000000">
      <w:pPr>
        <w:jc w:val="both"/>
      </w:pPr>
      <w:r>
        <w:t>Con osservanza,</w:t>
      </w:r>
    </w:p>
    <w:p w14:paraId="368A9F1F" w14:textId="77777777" w:rsidR="00AB52E8" w:rsidRDefault="00AB52E8"/>
    <w:p w14:paraId="7F07343C" w14:textId="77777777" w:rsidR="00AB52E8" w:rsidRDefault="00000000">
      <w:pPr>
        <w:jc w:val="both"/>
      </w:pPr>
      <w:r>
        <w:rPr>
          <w:b/>
          <w:bCs/>
        </w:rPr>
        <w:t>Prof.ssa Alice Melocchi</w:t>
      </w:r>
    </w:p>
    <w:p w14:paraId="526BE90B" w14:textId="77777777" w:rsidR="00AB52E8" w:rsidRDefault="00000000">
      <w:pPr>
        <w:jc w:val="both"/>
      </w:pPr>
      <w:r>
        <w:t>Amministratore di Sostegno del sig. Walter Andrea Colnaghi</w:t>
      </w:r>
    </w:p>
    <w:p w14:paraId="10D81F98" w14:textId="77777777" w:rsidR="00AB52E8" w:rsidRDefault="00000000">
      <w:pPr>
        <w:jc w:val="both"/>
      </w:pPr>
      <w:r>
        <w:t>c/o Studio Legale Bergamo Legal s.r.l.</w:t>
      </w:r>
    </w:p>
    <w:p w14:paraId="4E40C077" w14:textId="77777777" w:rsidR="00AB52E8" w:rsidRDefault="00AB52E8"/>
    <w:p w14:paraId="2524828E" w14:textId="77777777" w:rsidR="00AB52E8" w:rsidRDefault="00000000">
      <w:pPr>
        <w:jc w:val="both"/>
      </w:pPr>
      <w:r>
        <w:rPr>
          <w:b/>
          <w:bCs/>
        </w:rPr>
        <w:t>Avv. Matteo Bertocchi</w:t>
      </w:r>
    </w:p>
    <w:p w14:paraId="04B13597" w14:textId="77777777" w:rsidR="00AB52E8" w:rsidRDefault="00000000">
      <w:pPr>
        <w:jc w:val="both"/>
      </w:pPr>
      <w:r>
        <w:rPr>
          <w:i/>
          <w:iCs/>
        </w:rPr>
        <w:t>(firma digitale)</w:t>
      </w:r>
    </w:p>
    <w:p w14:paraId="1D619795" w14:textId="77777777" w:rsidR="00AB52E8" w:rsidRDefault="00AB52E8"/>
    <w:p w14:paraId="4400EBAC" w14:textId="77777777" w:rsidR="00AB52E8" w:rsidRDefault="00AB52E8"/>
    <w:p w14:paraId="725DF654" w14:textId="77777777" w:rsidR="00AB52E8" w:rsidRDefault="00000000">
      <w:pPr>
        <w:jc w:val="center"/>
      </w:pPr>
      <w:r>
        <w:rPr>
          <w:i/>
          <w:iCs/>
        </w:rPr>
        <w:t>_______________________________________________________________________________</w:t>
      </w:r>
    </w:p>
    <w:p w14:paraId="19BFF459" w14:textId="77777777" w:rsidR="00AB52E8" w:rsidRDefault="00000000">
      <w:pPr>
        <w:jc w:val="center"/>
      </w:pPr>
      <w:r>
        <w:rPr>
          <w:i/>
          <w:iCs/>
        </w:rPr>
        <w:t>R.E.A. BG 472665 – Capitale Sociale € 100.000 (versato € 75.000) – C.F. e P.IVA 04565220169</w:t>
      </w:r>
    </w:p>
    <w:p w14:paraId="740DA94F" w14:textId="77777777" w:rsidR="00AB52E8" w:rsidRDefault="00000000">
      <w:pPr>
        <w:jc w:val="center"/>
      </w:pPr>
      <w:r>
        <w:rPr>
          <w:i/>
          <w:iCs/>
        </w:rPr>
        <w:t>Iscritta all’Ordine degli Avvocati di Bergamo con il n. 14</w:t>
      </w:r>
    </w:p>
    <w:p w14:paraId="4B2537A1" w14:textId="77777777" w:rsidR="00AB52E8" w:rsidRDefault="00000000">
      <w:pPr>
        <w:jc w:val="center"/>
      </w:pPr>
      <w:r>
        <w:rPr>
          <w:i/>
          <w:iCs/>
        </w:rPr>
        <w:t xml:space="preserve">+39 351 83 13 103   |   </w:t>
      </w:r>
      <w:proofErr w:type="spellStart"/>
      <w:r>
        <w:rPr>
          <w:i/>
          <w:iCs/>
        </w:rPr>
        <w:t>info@bergamo.legal</w:t>
      </w:r>
      <w:proofErr w:type="spellEnd"/>
      <w:r>
        <w:rPr>
          <w:i/>
          <w:iCs/>
        </w:rPr>
        <w:t xml:space="preserve">   |   bergamo.legal@ultracert.it</w:t>
      </w:r>
    </w:p>
    <w:p w14:paraId="6DD4061C" w14:textId="77777777" w:rsidR="00AB52E8" w:rsidRDefault="00000000">
      <w:pPr>
        <w:jc w:val="center"/>
      </w:pPr>
      <w:r>
        <w:rPr>
          <w:i/>
          <w:iCs/>
        </w:rPr>
        <w:t xml:space="preserve">Via Fratelli Calvi 10E – BERGAMO (24122 </w:t>
      </w:r>
      <w:proofErr w:type="gramStart"/>
      <w:r>
        <w:rPr>
          <w:i/>
          <w:iCs/>
        </w:rPr>
        <w:t xml:space="preserve">BG)   </w:t>
      </w:r>
      <w:proofErr w:type="gramEnd"/>
      <w:r>
        <w:rPr>
          <w:i/>
          <w:iCs/>
        </w:rPr>
        <w:t>|   Via Montenapoleone 8 – MILANO (20121 MI)</w:t>
      </w:r>
    </w:p>
    <w:sectPr w:rsidR="00AB52E8">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359F5"/>
    <w:multiLevelType w:val="hybridMultilevel"/>
    <w:tmpl w:val="EAECE6C2"/>
    <w:lvl w:ilvl="0" w:tplc="3814BDCC">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5EC20541"/>
    <w:multiLevelType w:val="hybridMultilevel"/>
    <w:tmpl w:val="5F4C59F2"/>
    <w:lvl w:ilvl="0" w:tplc="B1A2433E">
      <w:start w:val="1"/>
      <w:numFmt w:val="bullet"/>
      <w:lvlText w:val="-"/>
      <w:lvlJc w:val="left"/>
      <w:pPr>
        <w:ind w:left="720" w:hanging="360"/>
      </w:pPr>
      <w:rPr>
        <w:rFonts w:ascii="Times New Roman" w:hAnsi="Times New Roman" w:cs="Times New Roman"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674A42F6"/>
    <w:multiLevelType w:val="hybridMultilevel"/>
    <w:tmpl w:val="33FA81B0"/>
    <w:lvl w:ilvl="0" w:tplc="C19AC9DC">
      <w:start w:val="1"/>
      <w:numFmt w:val="bullet"/>
      <w:lvlText w:val="●"/>
      <w:lvlJc w:val="left"/>
      <w:pPr>
        <w:ind w:left="720" w:hanging="360"/>
      </w:pPr>
    </w:lvl>
    <w:lvl w:ilvl="1" w:tplc="9EE2F0EE">
      <w:start w:val="1"/>
      <w:numFmt w:val="bullet"/>
      <w:lvlText w:val="○"/>
      <w:lvlJc w:val="left"/>
      <w:pPr>
        <w:ind w:left="1440" w:hanging="360"/>
      </w:pPr>
    </w:lvl>
    <w:lvl w:ilvl="2" w:tplc="6E96F6E6">
      <w:start w:val="1"/>
      <w:numFmt w:val="bullet"/>
      <w:lvlText w:val="■"/>
      <w:lvlJc w:val="left"/>
      <w:pPr>
        <w:ind w:left="2160" w:hanging="360"/>
      </w:pPr>
    </w:lvl>
    <w:lvl w:ilvl="3" w:tplc="84BA73CC">
      <w:start w:val="1"/>
      <w:numFmt w:val="bullet"/>
      <w:lvlText w:val="●"/>
      <w:lvlJc w:val="left"/>
      <w:pPr>
        <w:ind w:left="2880" w:hanging="360"/>
      </w:pPr>
    </w:lvl>
    <w:lvl w:ilvl="4" w:tplc="E3B8A302">
      <w:start w:val="1"/>
      <w:numFmt w:val="bullet"/>
      <w:lvlText w:val="○"/>
      <w:lvlJc w:val="left"/>
      <w:pPr>
        <w:ind w:left="3600" w:hanging="360"/>
      </w:pPr>
    </w:lvl>
    <w:lvl w:ilvl="5" w:tplc="269CA1CA">
      <w:start w:val="1"/>
      <w:numFmt w:val="bullet"/>
      <w:lvlText w:val="■"/>
      <w:lvlJc w:val="left"/>
      <w:pPr>
        <w:ind w:left="4320" w:hanging="360"/>
      </w:pPr>
    </w:lvl>
    <w:lvl w:ilvl="6" w:tplc="56F44520">
      <w:start w:val="1"/>
      <w:numFmt w:val="bullet"/>
      <w:lvlText w:val="●"/>
      <w:lvlJc w:val="left"/>
      <w:pPr>
        <w:ind w:left="5040" w:hanging="360"/>
      </w:pPr>
    </w:lvl>
    <w:lvl w:ilvl="7" w:tplc="5A0044B4">
      <w:start w:val="1"/>
      <w:numFmt w:val="bullet"/>
      <w:lvlText w:val="●"/>
      <w:lvlJc w:val="left"/>
      <w:pPr>
        <w:ind w:left="5760" w:hanging="360"/>
      </w:pPr>
    </w:lvl>
    <w:lvl w:ilvl="8" w:tplc="0BBA304E">
      <w:start w:val="1"/>
      <w:numFmt w:val="bullet"/>
      <w:lvlText w:val="●"/>
      <w:lvlJc w:val="left"/>
      <w:pPr>
        <w:ind w:left="6480" w:hanging="360"/>
      </w:pPr>
    </w:lvl>
  </w:abstractNum>
  <w:num w:numId="1" w16cid:durableId="409693309">
    <w:abstractNumId w:val="2"/>
    <w:lvlOverride w:ilvl="0">
      <w:startOverride w:val="1"/>
    </w:lvlOverride>
  </w:num>
  <w:num w:numId="2" w16cid:durableId="1585993282">
    <w:abstractNumId w:val="1"/>
  </w:num>
  <w:num w:numId="3" w16cid:durableId="1983581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2E8"/>
    <w:rsid w:val="00080EEA"/>
    <w:rsid w:val="00296178"/>
    <w:rsid w:val="0050248E"/>
    <w:rsid w:val="005350E0"/>
    <w:rsid w:val="005A4B78"/>
    <w:rsid w:val="005F5F7D"/>
    <w:rsid w:val="008345CE"/>
    <w:rsid w:val="00A96243"/>
    <w:rsid w:val="00AB52E8"/>
    <w:rsid w:val="00C460AB"/>
    <w:rsid w:val="00D20E62"/>
    <w:rsid w:val="00E36109"/>
    <w:rsid w:val="00E5408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8A95"/>
  <w15:docId w15:val="{5190249D-8022-4AC5-A93C-266EA9493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pPr>
      <w:spacing w:after="0"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pPr>
      <w:spacing w:after="0" w:line="240" w:lineRule="auto"/>
    </w:pPr>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Revisione">
    <w:name w:val="Revision"/>
    <w:hidden/>
    <w:uiPriority w:val="99"/>
    <w:semiHidden/>
    <w:rsid w:val="00080EEA"/>
    <w:pPr>
      <w:spacing w:after="0" w:line="240" w:lineRule="auto"/>
    </w:pPr>
  </w:style>
  <w:style w:type="character" w:styleId="Rimandocommento">
    <w:name w:val="annotation reference"/>
    <w:basedOn w:val="Carpredefinitoparagrafo"/>
    <w:uiPriority w:val="99"/>
    <w:semiHidden/>
    <w:unhideWhenUsed/>
    <w:rsid w:val="00E36109"/>
    <w:rPr>
      <w:sz w:val="16"/>
      <w:szCs w:val="16"/>
    </w:rPr>
  </w:style>
  <w:style w:type="paragraph" w:styleId="Testocommento">
    <w:name w:val="annotation text"/>
    <w:basedOn w:val="Normale"/>
    <w:link w:val="TestocommentoCarattere"/>
    <w:uiPriority w:val="99"/>
    <w:unhideWhenUsed/>
    <w:rsid w:val="00E36109"/>
    <w:pPr>
      <w:spacing w:line="240" w:lineRule="auto"/>
    </w:pPr>
    <w:rPr>
      <w:sz w:val="20"/>
      <w:szCs w:val="20"/>
    </w:rPr>
  </w:style>
  <w:style w:type="character" w:customStyle="1" w:styleId="TestocommentoCarattere">
    <w:name w:val="Testo commento Carattere"/>
    <w:basedOn w:val="Carpredefinitoparagrafo"/>
    <w:link w:val="Testocommento"/>
    <w:uiPriority w:val="99"/>
    <w:rsid w:val="00E36109"/>
    <w:rPr>
      <w:sz w:val="20"/>
      <w:szCs w:val="20"/>
    </w:rPr>
  </w:style>
  <w:style w:type="paragraph" w:styleId="Soggettocommento">
    <w:name w:val="annotation subject"/>
    <w:basedOn w:val="Testocommento"/>
    <w:next w:val="Testocommento"/>
    <w:link w:val="SoggettocommentoCarattere"/>
    <w:uiPriority w:val="99"/>
    <w:semiHidden/>
    <w:unhideWhenUsed/>
    <w:rsid w:val="00E36109"/>
    <w:rPr>
      <w:b/>
      <w:bCs/>
    </w:rPr>
  </w:style>
  <w:style w:type="character" w:customStyle="1" w:styleId="SoggettocommentoCarattere">
    <w:name w:val="Soggetto commento Carattere"/>
    <w:basedOn w:val="TestocommentoCarattere"/>
    <w:link w:val="Soggettocommento"/>
    <w:uiPriority w:val="99"/>
    <w:semiHidden/>
    <w:rsid w:val="00E3610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7002</Words>
  <Characters>39913</Characters>
  <Application>Microsoft Office Word</Application>
  <DocSecurity>0</DocSecurity>
  <Lines>332</Lines>
  <Paragraphs>93</Paragraphs>
  <ScaleCrop>false</ScaleCrop>
  <HeadingPairs>
    <vt:vector size="2" baseType="variant">
      <vt:variant>
        <vt:lpstr>Titolo</vt:lpstr>
      </vt:variant>
      <vt:variant>
        <vt:i4>1</vt:i4>
      </vt:variant>
    </vt:vector>
  </HeadingPairs>
  <TitlesOfParts>
    <vt:vector size="1" baseType="lpstr">
      <vt:lpstr>Memoria pre-udienza – Colnaghi – v3</vt:lpstr>
    </vt:vector>
  </TitlesOfParts>
  <Company/>
  <LinksUpToDate>false</LinksUpToDate>
  <CharactersWithSpaces>46822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pre-udienza – Colnaghi – v3</dc:title>
  <dc:creator>Studio Legale Bergamo Legal</dc:creator>
  <cp:lastModifiedBy>marco dolazza</cp:lastModifiedBy>
  <cp:revision>2</cp:revision>
  <dcterms:created xsi:type="dcterms:W3CDTF">2026-05-29T09:13:00Z</dcterms:created>
  <dcterms:modified xsi:type="dcterms:W3CDTF">2026-05-29T09:13:00Z</dcterms:modified>
</cp:coreProperties>
</file>