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Lines/>
        <w:spacing w:before="0" w:after="160"/>
        <w:jc w:val="center"/>
      </w:pPr>
      <w:r>
        <w:rPr>
          <w:rFonts w:ascii="Times New Roman" w:hAnsi="Times New Roman"/>
          <w:b/>
          <w:i w:val="0"/>
          <w:sz w:val="32"/>
        </w:rPr>
        <w:t>ESPOSIZIONE DEI FATTI E RIFERIMENTI NORMATIVI</w:t>
      </w:r>
    </w:p>
    <w:p>
      <w:pPr>
        <w:keepLines/>
        <w:spacing w:before="80" w:after="240"/>
        <w:jc w:val="center"/>
      </w:pPr>
      <w:r>
        <w:rPr>
          <w:rFonts w:ascii="Times New Roman" w:hAnsi="Times New Roman"/>
          <w:b/>
          <w:i/>
          <w:sz w:val="32"/>
        </w:rPr>
        <w:t>(allegato all’istanza di mediazione - cantiere ex Hotel Executive, San Paolo d’Argon BG)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i w:val="0"/>
          <w:sz w:val="28"/>
        </w:rPr>
        <w:t>I. I FATTI</w:t>
      </w:r>
    </w:p>
    <w:p>
      <w:pPr>
        <w:spacing w:before="4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1. </w:t>
      </w:r>
      <w:r>
        <w:rPr>
          <w:rFonts w:ascii="Times New Roman" w:hAnsi="Times New Roman"/>
          <w:b/>
          <w:i w:val="0"/>
          <w:sz w:val="24"/>
        </w:rPr>
        <w:t>La proprietà e i luoghi.</w:t>
      </w:r>
      <w:r>
        <w:rPr>
          <w:rFonts w:ascii="Times New Roman" w:hAnsi="Times New Roman"/>
          <w:b w:val="0"/>
          <w:i w:val="0"/>
          <w:sz w:val="24"/>
        </w:rPr>
        <w:t xml:space="preserve"> La parte istante è proprietaria dell’abitazione unifamiliare sita in </w:t>
      </w:r>
      <w:r>
        <w:rPr>
          <w:rFonts w:ascii="Times New Roman" w:hAnsi="Times New Roman"/>
          <w:b/>
          <w:i w:val="0"/>
          <w:sz w:val="24"/>
        </w:rPr>
        <w:t>San Paolo d’Argon (BG), Via Aldo Moro n. 5/A</w:t>
      </w:r>
      <w:r>
        <w:rPr>
          <w:rFonts w:ascii="Times New Roman" w:hAnsi="Times New Roman"/>
          <w:b w:val="0"/>
          <w:i w:val="0"/>
          <w:sz w:val="24"/>
        </w:rPr>
        <w:t xml:space="preserve">, in </w:t>
      </w:r>
      <w:r>
        <w:rPr>
          <w:rFonts w:ascii="Times New Roman" w:hAnsi="Times New Roman"/>
          <w:b/>
          <w:i w:val="0"/>
          <w:sz w:val="24"/>
        </w:rPr>
        <w:t>zona residenziale</w:t>
      </w:r>
      <w:r>
        <w:rPr>
          <w:rFonts w:ascii="Times New Roman" w:hAnsi="Times New Roman"/>
          <w:b w:val="0"/>
          <w:i w:val="0"/>
          <w:sz w:val="24"/>
        </w:rPr>
        <w:t>, con annessi giardino, orto e pertinenze esterne (vialetto, cortile, box).</w:t>
      </w:r>
    </w:p>
    <w:p>
      <w:pPr>
        <w:spacing w:before="4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2. </w:t>
      </w:r>
      <w:r>
        <w:rPr>
          <w:rFonts w:ascii="Times New Roman" w:hAnsi="Times New Roman"/>
          <w:b/>
          <w:i w:val="0"/>
          <w:sz w:val="24"/>
        </w:rPr>
        <w:t>Il cantiere e i soggetti.</w:t>
      </w:r>
      <w:r>
        <w:rPr>
          <w:rFonts w:ascii="Times New Roman" w:hAnsi="Times New Roman"/>
          <w:b w:val="0"/>
          <w:i w:val="0"/>
          <w:sz w:val="24"/>
        </w:rPr>
        <w:t xml:space="preserve"> In adiacenza alla proprietà è attivo, dal mese di settembre 2025, il cantiere per il recupero dell’ex Hotel Executive (B&amp;B Hotels), eseguito dall’impresa </w:t>
      </w:r>
      <w:r>
        <w:rPr>
          <w:rFonts w:ascii="Times New Roman" w:hAnsi="Times New Roman"/>
          <w:b/>
          <w:i w:val="0"/>
          <w:sz w:val="24"/>
        </w:rPr>
        <w:t>MCF Costruzioni</w:t>
      </w:r>
      <w:r>
        <w:rPr>
          <w:rFonts w:ascii="Times New Roman" w:hAnsi="Times New Roman"/>
          <w:b w:val="0"/>
          <w:i w:val="0"/>
          <w:sz w:val="24"/>
        </w:rPr>
        <w:t>, con direzione dei lavori affidata all’</w:t>
      </w:r>
      <w:r>
        <w:rPr>
          <w:rFonts w:ascii="Times New Roman" w:hAnsi="Times New Roman"/>
          <w:b/>
          <w:i w:val="0"/>
          <w:sz w:val="24"/>
        </w:rPr>
        <w:t>Ing. Luigi Tomasoni</w:t>
      </w:r>
      <w:r>
        <w:rPr>
          <w:rFonts w:ascii="Times New Roman" w:hAnsi="Times New Roman"/>
          <w:b w:val="0"/>
          <w:i w:val="0"/>
          <w:sz w:val="24"/>
        </w:rPr>
        <w:t>, come da comunicazione dell’Ufficio Tecnico del Comune di San Paolo d’Argon del 22 aprile 2026 (</w:t>
      </w:r>
      <w:r>
        <w:rPr>
          <w:rFonts w:ascii="Times New Roman" w:hAnsi="Times New Roman"/>
          <w:b/>
          <w:i w:val="0"/>
          <w:sz w:val="24"/>
        </w:rPr>
        <w:t>All. 1</w:t>
      </w:r>
      <w:r>
        <w:rPr>
          <w:rFonts w:ascii="Times New Roman" w:hAnsi="Times New Roman"/>
          <w:b w:val="0"/>
          <w:i w:val="0"/>
          <w:sz w:val="24"/>
        </w:rPr>
        <w:t>).</w:t>
      </w:r>
    </w:p>
    <w:p>
      <w:pPr>
        <w:spacing w:before="4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3. </w:t>
      </w:r>
      <w:r>
        <w:rPr>
          <w:rFonts w:ascii="Times New Roman" w:hAnsi="Times New Roman"/>
          <w:b/>
          <w:i w:val="0"/>
          <w:sz w:val="24"/>
        </w:rPr>
        <w:t>Immissioni rumorose e mancato rispetto degli orari.</w:t>
      </w:r>
      <w:r>
        <w:rPr>
          <w:rFonts w:ascii="Times New Roman" w:hAnsi="Times New Roman"/>
          <w:b w:val="0"/>
          <w:i w:val="0"/>
          <w:sz w:val="24"/>
        </w:rPr>
        <w:t xml:space="preserve"> Sin dall’avvio dei lavori le lavorazioni si svolgono con rumori continui </w:t>
      </w:r>
      <w:r>
        <w:rPr>
          <w:rFonts w:ascii="Times New Roman" w:hAnsi="Times New Roman"/>
          <w:b/>
          <w:i w:val="0"/>
          <w:sz w:val="24"/>
        </w:rPr>
        <w:t>già dalle ore 7:00</w:t>
      </w:r>
      <w:r>
        <w:rPr>
          <w:rFonts w:ascii="Times New Roman" w:hAnsi="Times New Roman"/>
          <w:b w:val="0"/>
          <w:i w:val="0"/>
          <w:sz w:val="24"/>
        </w:rPr>
        <w:t xml:space="preserve">, senza reale pausa, e oltre gli orari consentiti in zona residenziale. Risultano in particolare documentati: lavorazioni di </w:t>
      </w:r>
      <w:r>
        <w:rPr>
          <w:rFonts w:ascii="Times New Roman" w:hAnsi="Times New Roman"/>
          <w:b/>
          <w:i w:val="0"/>
          <w:sz w:val="24"/>
        </w:rPr>
        <w:t>sabato 21 marzo 2026 protrattesi fino alle ore 17:30</w:t>
      </w:r>
      <w:r>
        <w:rPr>
          <w:rFonts w:ascii="Times New Roman" w:hAnsi="Times New Roman"/>
          <w:b w:val="0"/>
          <w:i w:val="0"/>
          <w:sz w:val="24"/>
        </w:rPr>
        <w:t xml:space="preserve">; presenze di operai in alcune domeniche a recinzione chiusa; attività per l’intera giornata di </w:t>
      </w:r>
      <w:r>
        <w:rPr>
          <w:rFonts w:ascii="Times New Roman" w:hAnsi="Times New Roman"/>
          <w:b/>
          <w:i w:val="0"/>
          <w:sz w:val="24"/>
        </w:rPr>
        <w:t>sabato 23 e domenica 24 maggio 2026</w:t>
      </w:r>
      <w:r>
        <w:rPr>
          <w:rFonts w:ascii="Times New Roman" w:hAnsi="Times New Roman"/>
          <w:b w:val="0"/>
          <w:i w:val="0"/>
          <w:sz w:val="24"/>
        </w:rPr>
        <w:t>. Le circostanze sono rilevabili dal carteggio con l’Ufficio Tecnico comunale (</w:t>
      </w:r>
      <w:r>
        <w:rPr>
          <w:rFonts w:ascii="Times New Roman" w:hAnsi="Times New Roman"/>
          <w:b/>
          <w:i w:val="0"/>
          <w:sz w:val="24"/>
        </w:rPr>
        <w:t>All. 1</w:t>
      </w:r>
      <w:r>
        <w:rPr>
          <w:rFonts w:ascii="Times New Roman" w:hAnsi="Times New Roman"/>
          <w:b w:val="0"/>
          <w:i w:val="0"/>
          <w:sz w:val="24"/>
        </w:rPr>
        <w:t xml:space="preserve">). Le lavorazioni svolte </w:t>
      </w:r>
      <w:r>
        <w:rPr>
          <w:rFonts w:ascii="Times New Roman" w:hAnsi="Times New Roman"/>
          <w:b/>
          <w:i w:val="0"/>
          <w:sz w:val="24"/>
        </w:rPr>
        <w:t>fuori dagli orari consentiti e nei giorni festivi</w:t>
      </w:r>
      <w:r>
        <w:rPr>
          <w:rFonts w:ascii="Times New Roman" w:hAnsi="Times New Roman"/>
          <w:b w:val="0"/>
          <w:i w:val="0"/>
          <w:sz w:val="24"/>
        </w:rPr>
        <w:t xml:space="preserve"> integrano, di per sé, condotta illegittima, a prescindere da una misurazione fonometrica.</w:t>
      </w:r>
    </w:p>
    <w:p>
      <w:pPr>
        <w:spacing w:before="4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4. </w:t>
      </w:r>
      <w:r>
        <w:rPr>
          <w:rFonts w:ascii="Times New Roman" w:hAnsi="Times New Roman"/>
          <w:b/>
          <w:i w:val="0"/>
          <w:sz w:val="24"/>
        </w:rPr>
        <w:t>Dispersione di polistirolo e polveri; danni alle pertinenze.</w:t>
      </w:r>
      <w:r>
        <w:rPr>
          <w:rFonts w:ascii="Times New Roman" w:hAnsi="Times New Roman"/>
          <w:b w:val="0"/>
          <w:i w:val="0"/>
          <w:sz w:val="24"/>
        </w:rPr>
        <w:t xml:space="preserve"> In difetto di idonee recinzioni, barriere antipolvere e teli di confinamento adeguati all’altezza della struttura, in data </w:t>
      </w:r>
      <w:r>
        <w:rPr>
          <w:rFonts w:ascii="Times New Roman" w:hAnsi="Times New Roman"/>
          <w:b/>
          <w:i w:val="0"/>
          <w:sz w:val="24"/>
        </w:rPr>
        <w:t>21-22 aprile 2026</w:t>
      </w:r>
      <w:r>
        <w:rPr>
          <w:rFonts w:ascii="Times New Roman" w:hAnsi="Times New Roman"/>
          <w:b w:val="0"/>
          <w:i w:val="0"/>
          <w:sz w:val="24"/>
        </w:rPr>
        <w:t xml:space="preserve"> si è verificata una </w:t>
      </w:r>
      <w:r>
        <w:rPr>
          <w:rFonts w:ascii="Times New Roman" w:hAnsi="Times New Roman"/>
          <w:b/>
          <w:i w:val="0"/>
          <w:sz w:val="24"/>
        </w:rPr>
        <w:t>estesa dispersione di polistirolo, in polvere e granuli</w:t>
      </w:r>
      <w:r>
        <w:rPr>
          <w:rFonts w:ascii="Times New Roman" w:hAnsi="Times New Roman"/>
          <w:b w:val="0"/>
          <w:i w:val="0"/>
          <w:sz w:val="24"/>
        </w:rPr>
        <w:t xml:space="preserve">, all’interno della proprietà (giardino, orto, cortile, pertinenze, gabbie degli animali), con </w:t>
      </w:r>
      <w:r>
        <w:rPr>
          <w:rFonts w:ascii="Times New Roman" w:hAnsi="Times New Roman"/>
          <w:b/>
          <w:i w:val="0"/>
          <w:sz w:val="24"/>
        </w:rPr>
        <w:t>intasamento della grata di scolo del box</w:t>
      </w:r>
      <w:r>
        <w:rPr>
          <w:rFonts w:ascii="Times New Roman" w:hAnsi="Times New Roman"/>
          <w:b w:val="0"/>
          <w:i w:val="0"/>
          <w:sz w:val="24"/>
        </w:rPr>
        <w:t xml:space="preserve"> e conseguente rischio di allagamento, oltre alla presenza di </w:t>
      </w:r>
      <w:r>
        <w:rPr>
          <w:rFonts w:ascii="Times New Roman" w:hAnsi="Times New Roman"/>
          <w:b/>
          <w:i w:val="0"/>
          <w:sz w:val="24"/>
        </w:rPr>
        <w:t>macchie d’olio del macchinario sul vialetto privato</w:t>
      </w:r>
      <w:r>
        <w:rPr>
          <w:rFonts w:ascii="Times New Roman" w:hAnsi="Times New Roman"/>
          <w:b w:val="0"/>
          <w:i w:val="0"/>
          <w:sz w:val="24"/>
        </w:rPr>
        <w:t xml:space="preserve">. La documentazione fotografica è prodotta sub </w:t>
      </w:r>
      <w:r>
        <w:rPr>
          <w:rFonts w:ascii="Times New Roman" w:hAnsi="Times New Roman"/>
          <w:b/>
          <w:i w:val="0"/>
          <w:sz w:val="24"/>
        </w:rPr>
        <w:t>All. 2</w:t>
      </w:r>
      <w:r>
        <w:rPr>
          <w:rFonts w:ascii="Times New Roman" w:hAnsi="Times New Roman"/>
          <w:b w:val="0"/>
          <w:i w:val="0"/>
          <w:sz w:val="24"/>
        </w:rPr>
        <w:t xml:space="preserve">. Per la bonifica è stato acquisito preventivo da impresa specializzata per l’importo di </w:t>
      </w:r>
      <w:r>
        <w:rPr>
          <w:rFonts w:ascii="Times New Roman" w:hAnsi="Times New Roman"/>
          <w:b/>
          <w:i w:val="0"/>
          <w:sz w:val="24"/>
        </w:rPr>
        <w:t>€ 1.000,00</w:t>
      </w:r>
      <w:r>
        <w:rPr>
          <w:rFonts w:ascii="Times New Roman" w:hAnsi="Times New Roman"/>
          <w:b w:val="0"/>
          <w:i w:val="0"/>
          <w:sz w:val="24"/>
        </w:rPr>
        <w:t xml:space="preserve"> (</w:t>
      </w:r>
      <w:r>
        <w:rPr>
          <w:rFonts w:ascii="Times New Roman" w:hAnsi="Times New Roman"/>
          <w:b/>
          <w:i w:val="0"/>
          <w:sz w:val="24"/>
        </w:rPr>
        <w:t>All. 3</w:t>
      </w:r>
      <w:r>
        <w:rPr>
          <w:rFonts w:ascii="Times New Roman" w:hAnsi="Times New Roman"/>
          <w:b w:val="0"/>
          <w:i w:val="0"/>
          <w:sz w:val="24"/>
        </w:rPr>
        <w:t>).</w:t>
      </w:r>
    </w:p>
    <w:p>
      <w:pPr>
        <w:spacing w:before="4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5. </w:t>
      </w:r>
      <w:r>
        <w:rPr>
          <w:rFonts w:ascii="Times New Roman" w:hAnsi="Times New Roman"/>
          <w:b/>
          <w:i w:val="0"/>
          <w:sz w:val="24"/>
        </w:rPr>
        <w:t>Ulteriori criticità di sicurezza.</w:t>
      </w:r>
      <w:r>
        <w:rPr>
          <w:rFonts w:ascii="Times New Roman" w:hAnsi="Times New Roman"/>
          <w:b w:val="0"/>
          <w:i w:val="0"/>
          <w:sz w:val="24"/>
        </w:rPr>
        <w:t xml:space="preserve"> Si rappresentano altresì: la </w:t>
      </w:r>
      <w:r>
        <w:rPr>
          <w:rFonts w:ascii="Times New Roman" w:hAnsi="Times New Roman"/>
          <w:b/>
          <w:i w:val="0"/>
          <w:sz w:val="24"/>
        </w:rPr>
        <w:t>gru</w:t>
      </w:r>
      <w:r>
        <w:rPr>
          <w:rFonts w:ascii="Times New Roman" w:hAnsi="Times New Roman"/>
          <w:b w:val="0"/>
          <w:i w:val="0"/>
          <w:sz w:val="24"/>
        </w:rPr>
        <w:t xml:space="preserve"> frequentemente orientata e oscillante sopra l’abitazione, anche nelle ore notturne; l’</w:t>
      </w:r>
      <w:r>
        <w:rPr>
          <w:rFonts w:ascii="Times New Roman" w:hAnsi="Times New Roman"/>
          <w:b/>
          <w:i w:val="0"/>
          <w:sz w:val="24"/>
        </w:rPr>
        <w:t>uso della recinzione/cancellata della parte istante come confine di cantiere</w:t>
      </w:r>
      <w:r>
        <w:rPr>
          <w:rFonts w:ascii="Times New Roman" w:hAnsi="Times New Roman"/>
          <w:b w:val="0"/>
          <w:i w:val="0"/>
          <w:sz w:val="24"/>
        </w:rPr>
        <w:t>; il fissaggio di cavi di macchinari al muretto di proprietà; la caduta nel tempo di oggetti e materiali (sbarre, gommapiuma, residui) dai piani superiori; fumi neri dei macchinari riversati nel giardino.</w:t>
      </w:r>
    </w:p>
    <w:p>
      <w:pPr>
        <w:spacing w:before="4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6. </w:t>
      </w:r>
      <w:r>
        <w:rPr>
          <w:rFonts w:ascii="Times New Roman" w:hAnsi="Times New Roman"/>
          <w:b/>
          <w:i w:val="0"/>
          <w:sz w:val="24"/>
        </w:rPr>
        <w:t>Segnalazioni reiterate e assenza di intervento risolutivo.</w:t>
      </w:r>
      <w:r>
        <w:rPr>
          <w:rFonts w:ascii="Times New Roman" w:hAnsi="Times New Roman"/>
          <w:b w:val="0"/>
          <w:i w:val="0"/>
          <w:sz w:val="24"/>
        </w:rPr>
        <w:t xml:space="preserve"> La parte istante ha reiteratamente segnalato la situazione all’Ufficio Tecnico comunale a partire dal </w:t>
      </w:r>
      <w:r>
        <w:rPr>
          <w:rFonts w:ascii="Times New Roman" w:hAnsi="Times New Roman"/>
          <w:b/>
          <w:i w:val="0"/>
          <w:sz w:val="24"/>
        </w:rPr>
        <w:t>7 gennaio 2026</w:t>
      </w:r>
      <w:r>
        <w:rPr>
          <w:rFonts w:ascii="Times New Roman" w:hAnsi="Times New Roman"/>
          <w:b w:val="0"/>
          <w:i w:val="0"/>
          <w:sz w:val="24"/>
        </w:rPr>
        <w:t xml:space="preserve">, come da carteggio sub </w:t>
      </w:r>
      <w:r>
        <w:rPr>
          <w:rFonts w:ascii="Times New Roman" w:hAnsi="Times New Roman"/>
          <w:b/>
          <w:i w:val="0"/>
          <w:sz w:val="24"/>
        </w:rPr>
        <w:t>All. 1</w:t>
      </w:r>
      <w:r>
        <w:rPr>
          <w:rFonts w:ascii="Times New Roman" w:hAnsi="Times New Roman"/>
          <w:b w:val="0"/>
          <w:i w:val="0"/>
          <w:sz w:val="24"/>
        </w:rPr>
        <w:t xml:space="preserve">; in data </w:t>
      </w:r>
      <w:r>
        <w:rPr>
          <w:rFonts w:ascii="Times New Roman" w:hAnsi="Times New Roman"/>
          <w:b/>
          <w:i w:val="0"/>
          <w:sz w:val="24"/>
        </w:rPr>
        <w:t>30 aprile 2026</w:t>
      </w:r>
      <w:r>
        <w:rPr>
          <w:rFonts w:ascii="Times New Roman" w:hAnsi="Times New Roman"/>
          <w:b w:val="0"/>
          <w:i w:val="0"/>
          <w:sz w:val="24"/>
        </w:rPr>
        <w:t xml:space="preserve"> ha presentato esposto alla Stazione Carabinieri di Trescore Balneario (</w:t>
      </w:r>
      <w:r>
        <w:rPr>
          <w:rFonts w:ascii="Times New Roman" w:hAnsi="Times New Roman"/>
          <w:b/>
          <w:i w:val="0"/>
          <w:sz w:val="24"/>
        </w:rPr>
        <w:t>All. 4</w:t>
      </w:r>
      <w:r>
        <w:rPr>
          <w:rFonts w:ascii="Times New Roman" w:hAnsi="Times New Roman"/>
          <w:b w:val="0"/>
          <w:i w:val="0"/>
          <w:sz w:val="24"/>
        </w:rPr>
        <w:t>). Lo stesso Comune ha dato atto di avere «redarguito la direzione dei lavori e ammonito il coordinatore per la sicurezza». Nonostante ciò, né l’impresa né la direzione lavori hanno dato riscontro alle richieste di intervento e di ristoro, e la bonifica non è stata eseguita.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i w:val="0"/>
          <w:sz w:val="28"/>
        </w:rPr>
        <w:t>II. ACCENNI NORMATIVI</w:t>
      </w:r>
    </w:p>
    <w:p>
      <w:pPr>
        <w:spacing w:before="4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7. </w:t>
      </w:r>
      <w:r>
        <w:rPr>
          <w:rFonts w:ascii="Times New Roman" w:hAnsi="Times New Roman"/>
          <w:b/>
          <w:i w:val="0"/>
          <w:sz w:val="24"/>
        </w:rPr>
        <w:t>Immissioni e normale tollerabilità.</w:t>
      </w:r>
      <w:r>
        <w:rPr>
          <w:rFonts w:ascii="Times New Roman" w:hAnsi="Times New Roman"/>
          <w:b w:val="0"/>
          <w:i w:val="0"/>
          <w:sz w:val="24"/>
        </w:rPr>
        <w:t xml:space="preserve"> Ai sensi dell’</w:t>
      </w:r>
      <w:r>
        <w:rPr>
          <w:rFonts w:ascii="Times New Roman" w:hAnsi="Times New Roman"/>
          <w:b/>
          <w:i w:val="0"/>
          <w:sz w:val="24"/>
        </w:rPr>
        <w:t>art. 844 c.c.</w:t>
      </w:r>
      <w:r>
        <w:rPr>
          <w:rFonts w:ascii="Times New Roman" w:hAnsi="Times New Roman"/>
          <w:b w:val="0"/>
          <w:i w:val="0"/>
          <w:sz w:val="24"/>
        </w:rPr>
        <w:t xml:space="preserve">, le immissioni di rumori, polveri e simili propagazioni provenienti dal fondo del vicino non sono tollerabili </w:t>
      </w:r>
      <w:r>
        <w:rPr>
          <w:rFonts w:ascii="Times New Roman" w:hAnsi="Times New Roman"/>
          <w:b w:val="0"/>
          <w:i/>
          <w:sz w:val="24"/>
        </w:rPr>
        <w:t>«se superano la normale tollerabilità, avuto anche riguardo alla condizione dei luoghi»</w:t>
      </w:r>
      <w:r>
        <w:rPr>
          <w:rFonts w:ascii="Times New Roman" w:hAnsi="Times New Roman"/>
          <w:b w:val="0"/>
          <w:i w:val="0"/>
          <w:sz w:val="24"/>
        </w:rPr>
        <w:t xml:space="preserve">. Per consolidato orientamento il limite si accerta con </w:t>
      </w:r>
      <w:r>
        <w:rPr>
          <w:rFonts w:ascii="Times New Roman" w:hAnsi="Times New Roman"/>
          <w:b/>
          <w:i w:val="0"/>
          <w:sz w:val="24"/>
        </w:rPr>
        <w:t>criterio comparativo</w:t>
      </w:r>
      <w:r>
        <w:rPr>
          <w:rFonts w:ascii="Times New Roman" w:hAnsi="Times New Roman"/>
          <w:b w:val="0"/>
          <w:i w:val="0"/>
          <w:sz w:val="24"/>
        </w:rPr>
        <w:t xml:space="preserve">, reputandosi intollerabili le immissioni rumorose che eccedano di oltre </w:t>
      </w:r>
      <w:r>
        <w:rPr>
          <w:rFonts w:ascii="Times New Roman" w:hAnsi="Times New Roman"/>
          <w:b/>
          <w:i w:val="0"/>
          <w:sz w:val="24"/>
        </w:rPr>
        <w:t>3 dB(A) il rumore di fondo</w:t>
      </w:r>
      <w:r>
        <w:rPr>
          <w:rFonts w:ascii="Times New Roman" w:hAnsi="Times New Roman"/>
          <w:b w:val="0"/>
          <w:i w:val="0"/>
          <w:sz w:val="24"/>
        </w:rPr>
        <w:t xml:space="preserve"> della zona (Cass., Sez. Un., n. 4848/2013 </w:t>
      </w:r>
      <w:r>
        <w:rPr>
          <w:rFonts w:ascii="Times New Roman" w:hAnsi="Times New Roman"/>
          <w:b w:val="0"/>
          <w:i/>
          <w:sz w:val="24"/>
        </w:rPr>
        <w:t>[VERIFICA su DeJure/Italgiure]</w:t>
      </w:r>
      <w:r>
        <w:rPr>
          <w:rFonts w:ascii="Times New Roman" w:hAnsi="Times New Roman"/>
          <w:b w:val="0"/>
          <w:i w:val="0"/>
          <w:sz w:val="24"/>
        </w:rPr>
        <w:t>). La condizione residenziale dei luoghi abbassa la soglia di tollerabilità; resta ferma, in ogni caso, l’illiceità delle lavorazioni svolte in violazione degli orari e nei giorni festivi (infra), che prescinde dalla misurazione fonometrica.</w:t>
      </w:r>
    </w:p>
    <w:p>
      <w:pPr>
        <w:spacing w:before="4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8. </w:t>
      </w:r>
      <w:r>
        <w:rPr>
          <w:rFonts w:ascii="Times New Roman" w:hAnsi="Times New Roman"/>
          <w:b/>
          <w:i w:val="0"/>
          <w:sz w:val="24"/>
        </w:rPr>
        <w:t>Illiceità per violazione di norme pubblicistiche.</w:t>
      </w:r>
      <w:r>
        <w:rPr>
          <w:rFonts w:ascii="Times New Roman" w:hAnsi="Times New Roman"/>
          <w:b w:val="0"/>
          <w:i w:val="0"/>
          <w:sz w:val="24"/>
        </w:rPr>
        <w:t xml:space="preserve"> Ove le immissioni conseguano alla violazione di norme pubblicistiche (orari di cantiere, limiti acustici), non opera il contemperamento ex art. 844 c.c. e viene in rilievo la sola </w:t>
      </w:r>
      <w:r>
        <w:rPr>
          <w:rFonts w:ascii="Times New Roman" w:hAnsi="Times New Roman"/>
          <w:b/>
          <w:i w:val="0"/>
          <w:sz w:val="24"/>
        </w:rPr>
        <w:t>illiceità del fatto ex art. 2043 c.c.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/>
          <w:sz w:val="24"/>
        </w:rPr>
        <w:t>(orientamento prevalente - [VERIFICA estremi])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4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9. </w:t>
      </w:r>
      <w:r>
        <w:rPr>
          <w:rFonts w:ascii="Times New Roman" w:hAnsi="Times New Roman"/>
          <w:b/>
          <w:i w:val="0"/>
          <w:sz w:val="24"/>
        </w:rPr>
        <w:t>Tutela e responsabilità.</w:t>
      </w:r>
      <w:r>
        <w:rPr>
          <w:rFonts w:ascii="Times New Roman" w:hAnsi="Times New Roman"/>
          <w:b w:val="0"/>
          <w:i w:val="0"/>
          <w:sz w:val="24"/>
        </w:rPr>
        <w:t xml:space="preserve"> L’azione reale ex </w:t>
      </w:r>
      <w:r>
        <w:rPr>
          <w:rFonts w:ascii="Times New Roman" w:hAnsi="Times New Roman"/>
          <w:b/>
          <w:i w:val="0"/>
          <w:sz w:val="24"/>
        </w:rPr>
        <w:t>art. 844 c.c.</w:t>
      </w:r>
      <w:r>
        <w:rPr>
          <w:rFonts w:ascii="Times New Roman" w:hAnsi="Times New Roman"/>
          <w:b w:val="0"/>
          <w:i w:val="0"/>
          <w:sz w:val="24"/>
        </w:rPr>
        <w:t xml:space="preserve"> (cessazione delle immissioni e adozione di accorgimenti tecnici) è cumulabile con l’azione risarcitoria ex </w:t>
      </w:r>
      <w:r>
        <w:rPr>
          <w:rFonts w:ascii="Times New Roman" w:hAnsi="Times New Roman"/>
          <w:b/>
          <w:i w:val="0"/>
          <w:sz w:val="24"/>
        </w:rPr>
        <w:t>art. 2043 c.c.</w:t>
      </w:r>
      <w:r>
        <w:rPr>
          <w:rFonts w:ascii="Times New Roman" w:hAnsi="Times New Roman"/>
          <w:b w:val="0"/>
          <w:i w:val="0"/>
          <w:sz w:val="24"/>
        </w:rPr>
        <w:t xml:space="preserve"> e con il ristoro in forma specifica ex </w:t>
      </w:r>
      <w:r>
        <w:rPr>
          <w:rFonts w:ascii="Times New Roman" w:hAnsi="Times New Roman"/>
          <w:b/>
          <w:i w:val="0"/>
          <w:sz w:val="24"/>
        </w:rPr>
        <w:t>art. 2058 c.c.</w:t>
      </w:r>
      <w:r>
        <w:rPr>
          <w:rFonts w:ascii="Times New Roman" w:hAnsi="Times New Roman"/>
          <w:b w:val="0"/>
          <w:i w:val="0"/>
          <w:sz w:val="24"/>
        </w:rPr>
        <w:t xml:space="preserve">. Per i danni a terzi da esecuzione dell’appalto risponde di regola l’appaltatore; il committente può concorrere per culpa in eligendo, ingerenza o quale custode ex </w:t>
      </w:r>
      <w:r>
        <w:rPr>
          <w:rFonts w:ascii="Times New Roman" w:hAnsi="Times New Roman"/>
          <w:b/>
          <w:i w:val="0"/>
          <w:sz w:val="24"/>
        </w:rPr>
        <w:t>art. 2051 c.c.</w:t>
      </w:r>
      <w:r>
        <w:rPr>
          <w:rFonts w:ascii="Times New Roman" w:hAnsi="Times New Roman"/>
          <w:b w:val="0"/>
          <w:i w:val="0"/>
          <w:sz w:val="24"/>
        </w:rPr>
        <w:t xml:space="preserve">, con responsabilità solidale ex </w:t>
      </w:r>
      <w:r>
        <w:rPr>
          <w:rFonts w:ascii="Times New Roman" w:hAnsi="Times New Roman"/>
          <w:b/>
          <w:i w:val="0"/>
          <w:sz w:val="24"/>
        </w:rPr>
        <w:t>art. 2055 c.c.</w:t>
      </w:r>
      <w:r>
        <w:rPr>
          <w:rFonts w:ascii="Times New Roman" w:hAnsi="Times New Roman"/>
          <w:b w:val="0"/>
          <w:i w:val="0"/>
          <w:sz w:val="24"/>
        </w:rPr>
        <w:t xml:space="preserve"> (Cass. n. 12882/2020; n. 7553/2021; n. 26529/2025 </w:t>
      </w:r>
      <w:r>
        <w:rPr>
          <w:rFonts w:ascii="Times New Roman" w:hAnsi="Times New Roman"/>
          <w:b w:val="0"/>
          <w:i/>
          <w:sz w:val="24"/>
        </w:rPr>
        <w:t>[VERIFICA su DeJure/Italgiure]</w:t>
      </w:r>
      <w:r>
        <w:rPr>
          <w:rFonts w:ascii="Times New Roman" w:hAnsi="Times New Roman"/>
          <w:b w:val="0"/>
          <w:i w:val="0"/>
          <w:sz w:val="24"/>
        </w:rPr>
        <w:t>).</w:t>
      </w:r>
    </w:p>
    <w:p>
      <w:pPr>
        <w:spacing w:before="4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10. </w:t>
      </w:r>
      <w:r>
        <w:rPr>
          <w:rFonts w:ascii="Times New Roman" w:hAnsi="Times New Roman"/>
          <w:b/>
          <w:i w:val="0"/>
          <w:sz w:val="24"/>
        </w:rPr>
        <w:t>Danno non patrimoniale.</w:t>
      </w:r>
      <w:r>
        <w:rPr>
          <w:rFonts w:ascii="Times New Roman" w:hAnsi="Times New Roman"/>
          <w:b w:val="0"/>
          <w:i w:val="0"/>
          <w:sz w:val="24"/>
        </w:rPr>
        <w:t xml:space="preserve"> Le immissioni intollerabili, incidendo sul diritto al riposo e alla vivibilità dell’abitazione (art. 32 Cost.), sono fonte di danno non patrimoniale risarcibile, da provarsi e liquidarsi anche in via equitativa </w:t>
      </w:r>
      <w:r>
        <w:rPr>
          <w:rFonts w:ascii="Times New Roman" w:hAnsi="Times New Roman"/>
          <w:b w:val="0"/>
          <w:i/>
          <w:sz w:val="24"/>
        </w:rPr>
        <w:t>(orientamento di legittimità - [VERIFICA estremi])</w:t>
      </w:r>
      <w:r>
        <w:rPr>
          <w:rFonts w:ascii="Times New Roman" w:hAnsi="Times New Roman"/>
          <w:b w:val="0"/>
          <w:i w:val="0"/>
          <w:sz w:val="24"/>
        </w:rPr>
        <w:t>; nella specie non viene dedotto danno biologico.</w:t>
      </w:r>
    </w:p>
    <w:p>
      <w:pPr>
        <w:spacing w:before="40" w:after="120"/>
        <w:jc w:val="both"/>
      </w:pPr>
      <w:r>
        <w:rPr>
          <w:rFonts w:ascii="Times New Roman" w:hAnsi="Times New Roman"/>
          <w:b/>
          <w:i w:val="0"/>
          <w:sz w:val="24"/>
        </w:rPr>
        <w:t xml:space="preserve">11. </w:t>
      </w:r>
      <w:r>
        <w:rPr>
          <w:rFonts w:ascii="Times New Roman" w:hAnsi="Times New Roman"/>
          <w:b/>
          <w:i w:val="0"/>
          <w:sz w:val="24"/>
        </w:rPr>
        <w:t>Profilo rifiuti.</w:t>
      </w:r>
      <w:r>
        <w:rPr>
          <w:rFonts w:ascii="Times New Roman" w:hAnsi="Times New Roman"/>
          <w:b w:val="0"/>
          <w:i w:val="0"/>
          <w:sz w:val="24"/>
        </w:rPr>
        <w:t xml:space="preserve"> La dispersione e l’accumulo del polistirolo, quale rifiuto, rilevano altresì ai sensi degli </w:t>
      </w:r>
      <w:r>
        <w:rPr>
          <w:rFonts w:ascii="Times New Roman" w:hAnsi="Times New Roman"/>
          <w:b/>
          <w:i w:val="0"/>
          <w:sz w:val="24"/>
        </w:rPr>
        <w:t>artt. 192, 255 e 256 del d.lgs. 152/2006</w:t>
      </w:r>
      <w:r>
        <w:rPr>
          <w:rFonts w:ascii="Times New Roman" w:hAnsi="Times New Roman"/>
          <w:b w:val="0"/>
          <w:i w:val="0"/>
          <w:sz w:val="24"/>
        </w:rPr>
        <w:t xml:space="preserve"> sul divieto di abbandono e gestione dei rifiuti, profilo segnalato alle Autorità competenti.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i w:val="0"/>
          <w:sz w:val="28"/>
        </w:rPr>
        <w:t>III. ALLEGATI</w:t>
      </w:r>
    </w:p>
    <w:p>
      <w:pPr>
        <w:spacing w:before="0" w:after="8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All. 1 - carteggio con l’Ufficio Tecnico del Comune di San Paolo d’Argon (gennaio-maggio 2026), inclusa la comunicazione del 22 aprile 2026;</w:t>
      </w:r>
    </w:p>
    <w:p>
      <w:pPr>
        <w:spacing w:before="0" w:after="8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All. 2 - documentazione fotografica dei danni (polistirolo, grata di scolo intasata, macchie d’olio, gru);</w:t>
      </w:r>
    </w:p>
    <w:p>
      <w:pPr>
        <w:spacing w:before="0" w:after="8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All. 3 - preventivo di bonifica VLP Service (€ 1.000,00);</w:t>
      </w:r>
    </w:p>
    <w:p>
      <w:pPr>
        <w:spacing w:before="0" w:after="8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All. 4 - verbale di ricezione esposto, Stazione Carabinieri di Trescore Balneario, 30 aprile 2026.</w:t>
      </w:r>
    </w:p>
    <w:p>
      <w:pPr>
        <w:spacing w:before="280" w:after="80"/>
        <w:jc w:val="center"/>
      </w:pPr>
      <w:r>
        <w:rPr>
          <w:rFonts w:ascii="Times New Roman" w:hAnsi="Times New Roman"/>
          <w:b w:val="0"/>
          <w:i/>
          <w:sz w:val="20"/>
        </w:rPr>
        <w:t>Bozza per uso interno - verificare i riferimenti contrassegnati [VERIFICA].</w:t>
      </w:r>
    </w:p>
    <w:sectPr w:rsidR="0021690B" w:rsidRPr="00C16918" w:rsidSect="00135A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353" w:right="1134" w:bottom="2572" w:left="1134" w:header="737" w:footer="340" w:gutter="0"/>
      <w:pgNumType w:start="1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14CD" w14:textId="77777777" w:rsidR="00DC755C" w:rsidRDefault="00DC755C">
      <w:r>
        <w:separator/>
      </w:r>
    </w:p>
  </w:endnote>
  <w:endnote w:type="continuationSeparator" w:id="0">
    <w:p w14:paraId="002A092D" w14:textId="77777777" w:rsidR="00DC755C" w:rsidRDefault="00DC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04F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39DD" w14:textId="0E8A7BA2" w:rsidR="0021690B" w:rsidRPr="00B42B57" w:rsidRDefault="0021690B">
    <w:pPr>
      <w:pStyle w:val="Pidipagina"/>
      <w:pBdr>
        <w:bottom w:val="single" w:sz="1" w:space="0" w:color="000000"/>
      </w:pBdr>
      <w:spacing w:line="360" w:lineRule="auto"/>
      <w:jc w:val="right"/>
      <w:rPr>
        <w:color w:val="44546A"/>
        <w:sz w:val="20"/>
        <w:szCs w:val="20"/>
      </w:rPr>
    </w:pPr>
  </w:p>
  <w:p w14:paraId="1B2F7F58" w14:textId="77777777" w:rsidR="0021690B" w:rsidRPr="00B42B57" w:rsidRDefault="0021690B">
    <w:pPr>
      <w:tabs>
        <w:tab w:val="left" w:pos="5954"/>
      </w:tabs>
      <w:jc w:val="center"/>
      <w:rPr>
        <w:rFonts w:ascii="Book Antiqua" w:eastAsia="Times New Roman" w:hAnsi="Book Antiqua"/>
        <w:bCs/>
        <w:color w:val="44546A"/>
        <w:sz w:val="20"/>
        <w:szCs w:val="20"/>
      </w:rPr>
    </w:pPr>
  </w:p>
  <w:p w14:paraId="08352552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R.E.A. BG 472665 - Capitale Sociale € 100.000 (versato € 75.000) - C.F. e P.IVA 04565220169</w:t>
    </w:r>
  </w:p>
  <w:p w14:paraId="79E55FCD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Iscritta all’Ordine degli Avvocati di Bergamo con il n. 14</w:t>
    </w:r>
  </w:p>
  <w:p w14:paraId="6F993155" w14:textId="65E4BA67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+39 351 83 13 103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1" w:tooltip="mailto:info@bergamo.legal" w:history="1">
      <w:r w:rsidR="0021690B" w:rsidRPr="00957F57">
        <w:rPr>
          <w:rStyle w:val="Collegamentoipertestuale"/>
          <w:rFonts w:ascii="Garamond" w:eastAsia="Times New Roman" w:hAnsi="Garamond"/>
          <w:bCs/>
          <w:iCs/>
          <w:sz w:val="20"/>
          <w:szCs w:val="20"/>
        </w:rPr>
        <w:t>info@bergamo.legal</w:t>
      </w:r>
    </w:hyperlink>
  </w:p>
  <w:p w14:paraId="63067F71" w14:textId="5E70C9D0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+39 035 29 03 53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2" w:tooltip="mailto:bergamo.legal@ultracert.it" w:history="1">
      <w:r w:rsidR="0021690B" w:rsidRPr="00957F57">
        <w:rPr>
          <w:rStyle w:val="Collegamentoipertestuale"/>
          <w:rFonts w:ascii="Garamond" w:eastAsia="Times New Roman" w:hAnsi="Garamond"/>
          <w:bCs/>
          <w:sz w:val="20"/>
          <w:szCs w:val="20"/>
        </w:rPr>
        <w:t>bergamo.legal@ultracert.it</w:t>
      </w:r>
    </w:hyperlink>
  </w:p>
  <w:p w14:paraId="0B53EBBE" w14:textId="27FB278D" w:rsidR="0021690B" w:rsidRPr="00957F57" w:rsidRDefault="00000000">
    <w:pPr>
      <w:pStyle w:val="Pidipagina"/>
      <w:tabs>
        <w:tab w:val="clear" w:pos="4818"/>
        <w:tab w:val="clear" w:pos="9637"/>
        <w:tab w:val="right" w:pos="9638"/>
      </w:tabs>
      <w:spacing w:before="60"/>
      <w:jc w:val="both"/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+39 035 21 76 14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Via Fratelli Calvi 10E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BERGAMO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(24122 BG) - IT</w:t>
    </w:r>
  </w:p>
  <w:p w14:paraId="2D879BC3" w14:textId="30685787" w:rsidR="0021690B" w:rsidRPr="00957F57" w:rsidRDefault="00000000">
    <w:pPr>
      <w:pStyle w:val="Pidipagina"/>
      <w:tabs>
        <w:tab w:val="clear" w:pos="4818"/>
        <w:tab w:val="clear" w:pos="9637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ab/>
      <w:t xml:space="preserve">Via Montenapoleone 8 -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MILANO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(20121 MI) - IT</w:t>
    </w:r>
  </w:p>
  <w:p w14:paraId="466F431C" w14:textId="21C77518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center" w:pos="4819"/>
        <w:tab w:val="right" w:pos="9637"/>
        <w:tab w:val="right" w:pos="9638"/>
      </w:tabs>
      <w:spacing w:before="60"/>
      <w:jc w:val="both"/>
      <w:rPr>
        <w:rFonts w:ascii="Book Antiqua" w:eastAsia="Book Antiqua" w:hAnsi="Book Antiqua" w:cs="Book Antiqua"/>
        <w:color w:val="1F497D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D134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FF0A" w14:textId="77777777" w:rsidR="00DC755C" w:rsidRDefault="00DC755C">
      <w:r>
        <w:separator/>
      </w:r>
    </w:p>
  </w:footnote>
  <w:footnote w:type="continuationSeparator" w:id="0">
    <w:p w14:paraId="73F866AF" w14:textId="77777777" w:rsidR="00DC755C" w:rsidRDefault="00DC7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D716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490F" w14:textId="51F34EF4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754C8756" wp14:editId="09C2D6AE">
          <wp:simplePos x="0" y="0"/>
          <wp:positionH relativeFrom="column">
            <wp:posOffset>3822700</wp:posOffset>
          </wp:positionH>
          <wp:positionV relativeFrom="paragraph">
            <wp:posOffset>-8255</wp:posOffset>
          </wp:positionV>
          <wp:extent cx="2240915" cy="1520825"/>
          <wp:effectExtent l="0" t="0" r="6985" b="3175"/>
          <wp:wrapTight wrapText="bothSides">
            <wp:wrapPolygon edited="0">
              <wp:start x="0" y="0"/>
              <wp:lineTo x="0" y="21375"/>
              <wp:lineTo x="21484" y="21375"/>
              <wp:lineTo x="21484" y="0"/>
              <wp:lineTo x="0" y="0"/>
            </wp:wrapPolygon>
          </wp:wrapTight>
          <wp:docPr id="346752023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590480" name="Immagine 6565904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81" t="26632" r="15074" b="26635"/>
                  <a:stretch>
                    <a:fillRect/>
                  </a:stretch>
                </pic:blipFill>
                <pic:spPr bwMode="auto">
                  <a:xfrm>
                    <a:off x="0" y="0"/>
                    <a:ext cx="2240915" cy="1520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9A1">
      <w:rPr>
        <w:rFonts w:ascii="Garamond" w:hAnsi="Garamond"/>
        <w:b/>
        <w:bCs/>
        <w:iCs/>
        <w:sz w:val="32"/>
        <w:szCs w:val="32"/>
      </w:rPr>
      <w:t>BERGAMO LEGAL</w:t>
    </w:r>
  </w:p>
  <w:p w14:paraId="144E8F75" w14:textId="77777777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sz w:val="32"/>
        <w:szCs w:val="32"/>
      </w:rPr>
      <w:t>Società tra Avvocati s.r.l.</w:t>
    </w:r>
  </w:p>
  <w:p w14:paraId="3E42FEBF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33B71A34" w14:textId="2B33B869" w:rsidR="00FF6AF5" w:rsidRPr="006D69A1" w:rsidRDefault="00FF6AF5" w:rsidP="00FF6AF5">
    <w:pPr>
      <w:ind w:right="3968"/>
      <w:jc w:val="both"/>
      <w:rPr>
        <w:rFonts w:ascii="Garamond" w:hAnsi="Garamond"/>
        <w:iCs/>
        <w:sz w:val="28"/>
        <w:szCs w:val="28"/>
      </w:rPr>
    </w:pPr>
    <w:r w:rsidRPr="006D69A1">
      <w:rPr>
        <w:rFonts w:ascii="Garamond" w:hAnsi="Garamond"/>
        <w:iCs/>
        <w:sz w:val="28"/>
        <w:szCs w:val="28"/>
      </w:rPr>
      <w:t>www.bergamo.legal</w:t>
    </w:r>
  </w:p>
  <w:p w14:paraId="2FB6C3F6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132B90A1" w14:textId="12750E6A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>Avv. Matteo Bertocchi</w:t>
    </w:r>
  </w:p>
  <w:p w14:paraId="70698A7B" w14:textId="7D160CBB" w:rsidR="0021690B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 xml:space="preserve">Avv. Daiana Chiappa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F11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969"/>
    <w:multiLevelType w:val="hybridMultilevel"/>
    <w:tmpl w:val="02F6CF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41EA4"/>
    <w:multiLevelType w:val="multilevel"/>
    <w:tmpl w:val="7244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F68CE"/>
    <w:multiLevelType w:val="multilevel"/>
    <w:tmpl w:val="340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9E2683"/>
    <w:multiLevelType w:val="multilevel"/>
    <w:tmpl w:val="81A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B4346"/>
    <w:multiLevelType w:val="multilevel"/>
    <w:tmpl w:val="3A682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1650D7"/>
    <w:multiLevelType w:val="multilevel"/>
    <w:tmpl w:val="1BB0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029F9"/>
    <w:multiLevelType w:val="multilevel"/>
    <w:tmpl w:val="C0E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877613"/>
    <w:multiLevelType w:val="hybridMultilevel"/>
    <w:tmpl w:val="D5A6BACA"/>
    <w:lvl w:ilvl="0" w:tplc="9B768124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76E88"/>
    <w:multiLevelType w:val="multilevel"/>
    <w:tmpl w:val="3D0A1F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9D55594"/>
    <w:multiLevelType w:val="multilevel"/>
    <w:tmpl w:val="92E27A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79A2DAF"/>
    <w:multiLevelType w:val="multilevel"/>
    <w:tmpl w:val="779A2DAF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1560706554">
    <w:abstractNumId w:val="3"/>
  </w:num>
  <w:num w:numId="2" w16cid:durableId="1862475391">
    <w:abstractNumId w:val="2"/>
  </w:num>
  <w:num w:numId="3" w16cid:durableId="18052485">
    <w:abstractNumId w:val="6"/>
  </w:num>
  <w:num w:numId="4" w16cid:durableId="1229880140">
    <w:abstractNumId w:val="10"/>
  </w:num>
  <w:num w:numId="5" w16cid:durableId="634606687">
    <w:abstractNumId w:val="4"/>
  </w:num>
  <w:num w:numId="6" w16cid:durableId="1023937875">
    <w:abstractNumId w:val="8"/>
  </w:num>
  <w:num w:numId="7" w16cid:durableId="478502705">
    <w:abstractNumId w:val="9"/>
  </w:num>
  <w:num w:numId="8" w16cid:durableId="1026445472">
    <w:abstractNumId w:val="7"/>
  </w:num>
  <w:num w:numId="9" w16cid:durableId="1865165012">
    <w:abstractNumId w:val="0"/>
  </w:num>
  <w:num w:numId="10" w16cid:durableId="1182940854">
    <w:abstractNumId w:val="1"/>
  </w:num>
  <w:num w:numId="11" w16cid:durableId="1570727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0B"/>
    <w:rsid w:val="000060FA"/>
    <w:rsid w:val="00084982"/>
    <w:rsid w:val="00097873"/>
    <w:rsid w:val="001027A9"/>
    <w:rsid w:val="00114ABA"/>
    <w:rsid w:val="00124401"/>
    <w:rsid w:val="00135A59"/>
    <w:rsid w:val="00151342"/>
    <w:rsid w:val="00185B5A"/>
    <w:rsid w:val="002021BC"/>
    <w:rsid w:val="0021690B"/>
    <w:rsid w:val="00260360"/>
    <w:rsid w:val="002C613C"/>
    <w:rsid w:val="002F4322"/>
    <w:rsid w:val="002F51F9"/>
    <w:rsid w:val="003C6886"/>
    <w:rsid w:val="003F0DEB"/>
    <w:rsid w:val="00455DD0"/>
    <w:rsid w:val="00686BAF"/>
    <w:rsid w:val="006D0685"/>
    <w:rsid w:val="006D69A1"/>
    <w:rsid w:val="006F1393"/>
    <w:rsid w:val="00723687"/>
    <w:rsid w:val="00751354"/>
    <w:rsid w:val="00783B80"/>
    <w:rsid w:val="007943B7"/>
    <w:rsid w:val="007B09EC"/>
    <w:rsid w:val="007F1C99"/>
    <w:rsid w:val="00892800"/>
    <w:rsid w:val="008B3E99"/>
    <w:rsid w:val="008D2493"/>
    <w:rsid w:val="008F26BA"/>
    <w:rsid w:val="00904077"/>
    <w:rsid w:val="00926220"/>
    <w:rsid w:val="00957F57"/>
    <w:rsid w:val="0097597E"/>
    <w:rsid w:val="009920D8"/>
    <w:rsid w:val="009F1D6F"/>
    <w:rsid w:val="00AA3B96"/>
    <w:rsid w:val="00AB0057"/>
    <w:rsid w:val="00AC533B"/>
    <w:rsid w:val="00AC569D"/>
    <w:rsid w:val="00B109CE"/>
    <w:rsid w:val="00B42B57"/>
    <w:rsid w:val="00B6367B"/>
    <w:rsid w:val="00BF63AC"/>
    <w:rsid w:val="00C16918"/>
    <w:rsid w:val="00C34BF7"/>
    <w:rsid w:val="00CB0829"/>
    <w:rsid w:val="00CC529B"/>
    <w:rsid w:val="00CD6477"/>
    <w:rsid w:val="00D72034"/>
    <w:rsid w:val="00D9535A"/>
    <w:rsid w:val="00DA347A"/>
    <w:rsid w:val="00DC3006"/>
    <w:rsid w:val="00DC755C"/>
    <w:rsid w:val="00E25242"/>
    <w:rsid w:val="00E740D0"/>
    <w:rsid w:val="00E9394B"/>
    <w:rsid w:val="00F076AE"/>
    <w:rsid w:val="00FA1AD4"/>
    <w:rsid w:val="00FF3B80"/>
    <w:rsid w:val="00FF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4AAB2"/>
  <w15:docId w15:val="{7436AD32-9521-4358-9C8D-313C07C6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="Arial Unicode MS"/>
    </w:rPr>
  </w:style>
  <w:style w:type="paragraph" w:styleId="Titolo1">
    <w:name w:val="heading 1"/>
    <w:basedOn w:val="Normale"/>
    <w:next w:val="Normale"/>
    <w:link w:val="Titolo1Caratter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Intestazione1"/>
    <w:next w:val="Corpotesto"/>
    <w:link w:val="Titolo2Carattere"/>
    <w:qFormat/>
    <w:pPr>
      <w:numPr>
        <w:ilvl w:val="1"/>
      </w:numPr>
      <w:outlineLvl w:val="1"/>
    </w:pPr>
    <w:rPr>
      <w:b/>
      <w:bCs/>
      <w:i/>
      <w:iCs/>
    </w:rPr>
  </w:style>
  <w:style w:type="paragraph" w:styleId="Titolo3">
    <w:name w:val="heading 3"/>
    <w:basedOn w:val="Normale"/>
    <w:next w:val="Normale"/>
    <w:link w:val="Titolo3Caratter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qFormat/>
    <w:pPr>
      <w:keepNext/>
      <w:numPr>
        <w:ilvl w:val="3"/>
      </w:numPr>
      <w:tabs>
        <w:tab w:val="left" w:pos="851"/>
        <w:tab w:val="left" w:pos="10490"/>
      </w:tabs>
      <w:spacing w:line="360" w:lineRule="auto"/>
      <w:jc w:val="both"/>
      <w:outlineLvl w:val="3"/>
    </w:pPr>
    <w:rPr>
      <w:b/>
      <w:bCs/>
    </w:rPr>
  </w:style>
  <w:style w:type="paragraph" w:styleId="Titolo5">
    <w:name w:val="heading 5"/>
    <w:basedOn w:val="Normale"/>
    <w:next w:val="Normale"/>
    <w:link w:val="Titolo5Caratter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link w:val="Titolo6Carattere"/>
    <w:qFormat/>
    <w:pPr>
      <w:keepNext/>
      <w:numPr>
        <w:ilvl w:val="5"/>
      </w:numPr>
      <w:tabs>
        <w:tab w:val="left" w:pos="851"/>
        <w:tab w:val="left" w:pos="4678"/>
      </w:tabs>
      <w:outlineLvl w:val="5"/>
    </w:p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qFormat/>
    <w:pPr>
      <w:keepNext/>
      <w:numPr>
        <w:ilvl w:val="7"/>
      </w:numPr>
      <w:tabs>
        <w:tab w:val="left" w:pos="851"/>
        <w:tab w:val="left" w:pos="3119"/>
      </w:tabs>
      <w:jc w:val="center"/>
      <w:outlineLvl w:val="7"/>
    </w:pPr>
    <w:rPr>
      <w:rFonts w:ascii="Copperplate Gothic Light" w:hAnsi="Copperplate Gothic Light"/>
      <w:b/>
      <w:color w:val="000000"/>
      <w:sz w:val="28"/>
    </w:rPr>
  </w:style>
  <w:style w:type="paragraph" w:styleId="Titolo9">
    <w:name w:val="heading 9"/>
    <w:basedOn w:val="Normale"/>
    <w:next w:val="Normale"/>
    <w:link w:val="Titolo9Carattere"/>
    <w:qFormat/>
    <w:pPr>
      <w:keepNext/>
      <w:numPr>
        <w:ilvl w:val="8"/>
      </w:numPr>
      <w:jc w:val="center"/>
      <w:outlineLvl w:val="8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Carpredefinitoparagraf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Carpredefinitoparagraf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Carpredefinitoparagraf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Carpredefinitoparagraf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Carpredefinitoparagraf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Carpredefinitoparagraf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Carpredefinitoparagraf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Carpredefinitoparagraf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Carpredefinitoparagraf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Carpredefinitoparagrafo"/>
    <w:uiPriority w:val="30"/>
    <w:rPr>
      <w:i/>
      <w:iCs/>
      <w:color w:val="365F91" w:themeColor="accent1" w:themeShade="BF"/>
    </w:rPr>
  </w:style>
  <w:style w:type="character" w:customStyle="1" w:styleId="FooterChar">
    <w:name w:val="Footer Char"/>
    <w:basedOn w:val="Carpredefinitoparagrafo"/>
    <w:uiPriority w:val="99"/>
  </w:style>
  <w:style w:type="character" w:customStyle="1" w:styleId="FootnoteTextChar">
    <w:name w:val="Footnote Text Char"/>
    <w:basedOn w:val="Carpredefinitoparagraf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Carpredefinitoparagrafo"/>
    <w:uiPriority w:val="99"/>
    <w:semiHidden/>
    <w:rPr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essunaspaziatura">
    <w:name w:val="No Spacing"/>
    <w:basedOn w:val="Normale"/>
    <w:uiPriority w:val="1"/>
    <w:qFormat/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styleId="Collegamentoipertestuale">
    <w:name w:val="Hyperlink"/>
    <w:rPr>
      <w:color w:val="000080"/>
      <w:u w:val="single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uiPriority w:val="99"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link w:val="PidipaginaCarattere"/>
    <w:pPr>
      <w:suppressLineNumbers/>
      <w:tabs>
        <w:tab w:val="center" w:pos="4818"/>
        <w:tab w:val="right" w:pos="9637"/>
      </w:tabs>
    </w:pPr>
  </w:style>
  <w:style w:type="paragraph" w:styleId="NormaleWeb">
    <w:name w:val="Normal (Web)"/>
    <w:basedOn w:val="Normale"/>
    <w:pPr>
      <w:widowControl/>
      <w:spacing w:before="100" w:beforeAutospacing="1" w:after="119"/>
    </w:pPr>
    <w:rPr>
      <w:rFonts w:eastAsia="Times New Roman"/>
    </w:rPr>
  </w:style>
  <w:style w:type="paragraph" w:styleId="Testofumetto">
    <w:name w:val="Balloon Text"/>
    <w:basedOn w:val="Normale"/>
    <w:link w:val="TestofumettoCarattere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Pr>
      <w:rFonts w:ascii="Tahoma" w:eastAsia="Arial Unicode MS" w:hAnsi="Tahoma" w:cs="Tahoma"/>
      <w:sz w:val="16"/>
      <w:szCs w:val="1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rFonts w:eastAsia="Arial Unicode MS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Pr>
      <w:color w:val="808080"/>
      <w:shd w:val="clear" w:color="auto" w:fill="E6E6E6"/>
    </w:rPr>
  </w:style>
  <w:style w:type="character" w:styleId="Collegamentovisitato">
    <w:name w:val="FollowedHyperlink"/>
    <w:basedOn w:val="Carpredefinitoparagrafo"/>
    <w:semiHidden/>
    <w:unhideWhenUsed/>
    <w:rPr>
      <w:color w:val="800080" w:themeColor="followed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Sottotitolo">
    <w:name w:val="Subtitle"/>
    <w:basedOn w:val="Normale"/>
    <w:next w:val="Normale"/>
    <w:link w:val="SottotitoloCaratter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imandocommento">
    <w:name w:val="annotation reference"/>
    <w:basedOn w:val="Carpredefinitoparagrafo"/>
    <w:semiHidden/>
    <w:unhideWhenUsed/>
    <w:rsid w:val="00B42B57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B42B57"/>
    <w:pPr>
      <w:jc w:val="both"/>
    </w:pPr>
    <w:rPr>
      <w:rFonts w:ascii="Courier New" w:eastAsia="Times New Roman" w:hAnsi="Courier New"/>
      <w:position w:val="6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rsid w:val="00B42B57"/>
    <w:rPr>
      <w:rFonts w:ascii="Courier New" w:hAnsi="Courier New"/>
      <w:position w:val="6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bergamo.legal@ultracert.it" TargetMode="External"/><Relationship Id="rId1" Type="http://schemas.openxmlformats.org/officeDocument/2006/relationships/hyperlink" Target="mailto:info@bergamo.legal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Ic480S39jm1oiCm+DYjTPapWQ==">CgMxLjAyCGguZ2pkZ3hzMgloLjMwajB6bGw4AHIhMUV2VFdmV1VLUlZFWmx3YW1uTHVvS1g0NDNtSHlmOEhf</go:docsCustomData>
</go:gDocsCustomXmlDataStorage>
</file>

<file path=customXml/itemProps1.xml><?xml version="1.0" encoding="utf-8"?>
<ds:datastoreItem xmlns:ds="http://schemas.openxmlformats.org/officeDocument/2006/customXml" ds:itemID="{F5A2A1F2-9E8F-4439-862B-4780A4AC9A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</dc:creator>
  <cp:lastModifiedBy>marco dolazza</cp:lastModifiedBy>
  <cp:revision>5</cp:revision>
  <dcterms:created xsi:type="dcterms:W3CDTF">2026-05-05T15:13:00Z</dcterms:created>
  <dcterms:modified xsi:type="dcterms:W3CDTF">2026-05-11T12:48:00Z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0x010100995E16C2FC49DE46A5FEE583E28296E3</vt:lpwstr>
  </property>
</Properties>
</file>