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160"/>
        <w:jc w:val="center"/>
      </w:pPr>
      <w:r>
        <w:rPr>
          <w:rFonts w:ascii="Times New Roman" w:hAnsi="Times New Roman"/>
          <w:b/>
          <w:i w:val="0"/>
          <w:sz w:val="32"/>
        </w:rPr>
        <w:t>ESPOSIZIONE DEI FATTI E RIFERIMENTI NORMATIVI</w:t>
      </w:r>
    </w:p>
    <w:p>
      <w:pPr>
        <w:spacing w:before="80" w:after="280"/>
        <w:jc w:val="center"/>
      </w:pPr>
      <w:r>
        <w:rPr>
          <w:rFonts w:ascii="Times New Roman" w:hAnsi="Times New Roman"/>
          <w:b/>
          <w:i/>
          <w:sz w:val="32"/>
        </w:rPr>
        <w:t>(allegato all’istanza di mediazione - cantiere ex Hotel Executive, San Paolo d’Argon BG)</w:t>
      </w:r>
    </w:p>
    <w:p>
      <w:pPr>
        <w:keepNext/>
        <w:spacing w:before="280" w:after="120"/>
        <w:jc w:val="left"/>
      </w:pPr>
      <w:r>
        <w:rPr>
          <w:rFonts w:ascii="Times New Roman" w:hAnsi="Times New Roman"/>
          <w:b/>
          <w:i w:val="0"/>
          <w:sz w:val="28"/>
        </w:rPr>
        <w:t>I. PREMESSE E PARTI</w:t>
      </w:r>
    </w:p>
    <w:p>
      <w:pPr>
        <w:spacing w:before="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1. </w:t>
      </w:r>
      <w:r>
        <w:rPr>
          <w:rFonts w:ascii="Times New Roman" w:hAnsi="Times New Roman"/>
          <w:b/>
          <w:i w:val="0"/>
          <w:sz w:val="24"/>
        </w:rPr>
        <w:t xml:space="preserve">Premesse e parti. </w:t>
      </w:r>
      <w:r>
        <w:rPr>
          <w:rFonts w:ascii="Times New Roman" w:hAnsi="Times New Roman"/>
          <w:b w:val="0"/>
          <w:i w:val="0"/>
          <w:sz w:val="24"/>
        </w:rPr>
        <w:t xml:space="preserve">La parte istante è proprietaria dell’abitazione unifamiliare sita in </w:t>
      </w:r>
      <w:r>
        <w:rPr>
          <w:rFonts w:ascii="Times New Roman" w:hAnsi="Times New Roman"/>
          <w:b/>
          <w:i w:val="0"/>
          <w:sz w:val="24"/>
        </w:rPr>
        <w:t>San Paolo d’Argon (BG), Via Aldo Moro n. 5/A</w:t>
      </w:r>
      <w:r>
        <w:rPr>
          <w:rFonts w:ascii="Times New Roman" w:hAnsi="Times New Roman"/>
          <w:b w:val="0"/>
          <w:i w:val="0"/>
          <w:sz w:val="24"/>
        </w:rPr>
        <w:t xml:space="preserve">, con giardino, orto e pertinenze esterne, in </w:t>
      </w:r>
      <w:r>
        <w:rPr>
          <w:rFonts w:ascii="Times New Roman" w:hAnsi="Times New Roman"/>
          <w:b/>
          <w:i w:val="0"/>
          <w:sz w:val="24"/>
        </w:rPr>
        <w:t>zona residenziale</w:t>
      </w:r>
      <w:r>
        <w:rPr>
          <w:rFonts w:ascii="Times New Roman" w:hAnsi="Times New Roman"/>
          <w:b w:val="0"/>
          <w:i w:val="0"/>
          <w:sz w:val="24"/>
        </w:rPr>
        <w:t xml:space="preserve">. In adiacenza alla proprietà è attivo, dal settembre 2025, il cantiere per il recupero dell’ex Hotel Executive (B&amp;B Hotels), eseguito da </w:t>
      </w:r>
      <w:r>
        <w:rPr>
          <w:rFonts w:ascii="Times New Roman" w:hAnsi="Times New Roman"/>
          <w:b/>
          <w:i w:val="0"/>
          <w:sz w:val="24"/>
        </w:rPr>
        <w:t>MCF Costruzioni</w:t>
      </w:r>
      <w:r>
        <w:rPr>
          <w:rFonts w:ascii="Times New Roman" w:hAnsi="Times New Roman"/>
          <w:b w:val="0"/>
          <w:i w:val="0"/>
          <w:sz w:val="24"/>
        </w:rPr>
        <w:t>, con direzione dei lavori dell’</w:t>
      </w:r>
      <w:r>
        <w:rPr>
          <w:rFonts w:ascii="Times New Roman" w:hAnsi="Times New Roman"/>
          <w:b/>
          <w:i w:val="0"/>
          <w:sz w:val="24"/>
        </w:rPr>
        <w:t>Ing. Luigi Tomasoni</w:t>
      </w:r>
      <w:r>
        <w:rPr>
          <w:rFonts w:ascii="Times New Roman" w:hAnsi="Times New Roman"/>
          <w:b w:val="0"/>
          <w:i w:val="0"/>
          <w:sz w:val="24"/>
        </w:rPr>
        <w:t>, come da comunicazione dell’Ufficio Tecnico comunale del 22 aprile 2026 (</w:t>
      </w:r>
      <w:r>
        <w:rPr>
          <w:rFonts w:ascii="Times New Roman" w:hAnsi="Times New Roman"/>
          <w:b/>
          <w:i w:val="0"/>
          <w:sz w:val="24"/>
        </w:rPr>
        <w:t>All. 1</w:t>
      </w:r>
      <w:r>
        <w:rPr>
          <w:rFonts w:ascii="Times New Roman" w:hAnsi="Times New Roman"/>
          <w:b w:val="0"/>
          <w:i w:val="0"/>
          <w:sz w:val="24"/>
        </w:rPr>
        <w:t>).</w:t>
      </w:r>
    </w:p>
    <w:p>
      <w:pPr>
        <w:keepNext/>
        <w:spacing w:before="280" w:after="120"/>
        <w:jc w:val="left"/>
      </w:pPr>
      <w:r>
        <w:rPr>
          <w:rFonts w:ascii="Times New Roman" w:hAnsi="Times New Roman"/>
          <w:b/>
          <w:i w:val="0"/>
          <w:sz w:val="28"/>
        </w:rPr>
        <w:t>II. FATTI RILEVANTI</w:t>
      </w:r>
    </w:p>
    <w:p>
      <w:pPr>
        <w:spacing w:before="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2. </w:t>
      </w:r>
      <w:r>
        <w:rPr>
          <w:rFonts w:ascii="Times New Roman" w:hAnsi="Times New Roman"/>
          <w:b/>
          <w:i w:val="0"/>
          <w:sz w:val="24"/>
        </w:rPr>
        <w:t xml:space="preserve">Fatti rilevanti. </w:t>
      </w:r>
      <w:r>
        <w:rPr>
          <w:rFonts w:ascii="Times New Roman" w:hAnsi="Times New Roman"/>
          <w:b w:val="0"/>
          <w:i w:val="0"/>
          <w:sz w:val="24"/>
        </w:rPr>
        <w:t xml:space="preserve">Le lavorazioni producono immissioni rumorose continue sin dalle ore 7:00, senza reali pause e oltre gli orari consentiti in zona residenziale; risultano documentati lavori di </w:t>
      </w:r>
      <w:r>
        <w:rPr>
          <w:rFonts w:ascii="Times New Roman" w:hAnsi="Times New Roman"/>
          <w:b/>
          <w:i w:val="0"/>
          <w:sz w:val="24"/>
        </w:rPr>
        <w:t>sabato 21 marzo 2026 fino alle ore 17:30</w:t>
      </w:r>
      <w:r>
        <w:rPr>
          <w:rFonts w:ascii="Times New Roman" w:hAnsi="Times New Roman"/>
          <w:b w:val="0"/>
          <w:i w:val="0"/>
          <w:sz w:val="24"/>
        </w:rPr>
        <w:t xml:space="preserve">, presenze domenicali a recinzione chiusa e attività per l’intera giornata di </w:t>
      </w:r>
      <w:r>
        <w:rPr>
          <w:rFonts w:ascii="Times New Roman" w:hAnsi="Times New Roman"/>
          <w:b/>
          <w:i w:val="0"/>
          <w:sz w:val="24"/>
        </w:rPr>
        <w:t>sabato 23 e domenica 24 maggio 2026</w:t>
      </w:r>
      <w:r>
        <w:rPr>
          <w:rFonts w:ascii="Times New Roman" w:hAnsi="Times New Roman"/>
          <w:b w:val="0"/>
          <w:i w:val="0"/>
          <w:sz w:val="24"/>
        </w:rPr>
        <w:t xml:space="preserve"> (rilievi risultanti dal carteggio con il Comune - </w:t>
      </w:r>
      <w:r>
        <w:rPr>
          <w:rFonts w:ascii="Times New Roman" w:hAnsi="Times New Roman"/>
          <w:b/>
          <w:i w:val="0"/>
          <w:sz w:val="24"/>
        </w:rPr>
        <w:t>All. 1</w:t>
      </w:r>
      <w:r>
        <w:rPr>
          <w:rFonts w:ascii="Times New Roman" w:hAnsi="Times New Roman"/>
          <w:b w:val="0"/>
          <w:i w:val="0"/>
          <w:sz w:val="24"/>
        </w:rPr>
        <w:t>).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In data </w:t>
      </w:r>
      <w:r>
        <w:rPr>
          <w:rFonts w:ascii="Times New Roman" w:hAnsi="Times New Roman"/>
          <w:b/>
          <w:i w:val="0"/>
          <w:sz w:val="24"/>
        </w:rPr>
        <w:t>21-22 aprile 2026</w:t>
      </w:r>
      <w:r>
        <w:rPr>
          <w:rFonts w:ascii="Times New Roman" w:hAnsi="Times New Roman"/>
          <w:b w:val="0"/>
          <w:i w:val="0"/>
          <w:sz w:val="24"/>
        </w:rPr>
        <w:t xml:space="preserve"> si è verificata un’</w:t>
      </w:r>
      <w:r>
        <w:rPr>
          <w:rFonts w:ascii="Times New Roman" w:hAnsi="Times New Roman"/>
          <w:b/>
          <w:i w:val="0"/>
          <w:sz w:val="24"/>
        </w:rPr>
        <w:t>estesa dispersione di polistirolo</w:t>
      </w:r>
      <w:r>
        <w:rPr>
          <w:rFonts w:ascii="Times New Roman" w:hAnsi="Times New Roman"/>
          <w:b w:val="0"/>
          <w:i w:val="0"/>
          <w:sz w:val="24"/>
        </w:rPr>
        <w:t xml:space="preserve"> (polvere e granuli) all’interno della proprietà (giardino, orto, pertinenze, gabbie degli animali), con </w:t>
      </w:r>
      <w:r>
        <w:rPr>
          <w:rFonts w:ascii="Times New Roman" w:hAnsi="Times New Roman"/>
          <w:b/>
          <w:i w:val="0"/>
          <w:sz w:val="24"/>
        </w:rPr>
        <w:t>intasamento della grata di scolo del box</w:t>
      </w:r>
      <w:r>
        <w:rPr>
          <w:rFonts w:ascii="Times New Roman" w:hAnsi="Times New Roman"/>
          <w:b w:val="0"/>
          <w:i w:val="0"/>
          <w:sz w:val="24"/>
        </w:rPr>
        <w:t xml:space="preserve"> e conseguente rischio di allagamento, oltre a </w:t>
      </w:r>
      <w:r>
        <w:rPr>
          <w:rFonts w:ascii="Times New Roman" w:hAnsi="Times New Roman"/>
          <w:b/>
          <w:i w:val="0"/>
          <w:sz w:val="24"/>
        </w:rPr>
        <w:t>macchie d’olio sul vialetto</w:t>
      </w:r>
      <w:r>
        <w:rPr>
          <w:rFonts w:ascii="Times New Roman" w:hAnsi="Times New Roman"/>
          <w:b w:val="0"/>
          <w:i w:val="0"/>
          <w:sz w:val="24"/>
        </w:rPr>
        <w:t xml:space="preserve">; per la bonifica è stato acquisito preventivo di </w:t>
      </w:r>
      <w:r>
        <w:rPr>
          <w:rFonts w:ascii="Times New Roman" w:hAnsi="Times New Roman"/>
          <w:b/>
          <w:i w:val="0"/>
          <w:sz w:val="24"/>
        </w:rPr>
        <w:t>€ 1.000,00</w:t>
      </w:r>
      <w:r>
        <w:rPr>
          <w:rFonts w:ascii="Times New Roman" w:hAnsi="Times New Roman"/>
          <w:b w:val="0"/>
          <w:i w:val="0"/>
          <w:sz w:val="24"/>
        </w:rPr>
        <w:t xml:space="preserve"> (</w:t>
      </w:r>
      <w:r>
        <w:rPr>
          <w:rFonts w:ascii="Times New Roman" w:hAnsi="Times New Roman"/>
          <w:b/>
          <w:i w:val="0"/>
          <w:sz w:val="24"/>
        </w:rPr>
        <w:t>All. 3</w:t>
      </w:r>
      <w:r>
        <w:rPr>
          <w:rFonts w:ascii="Times New Roman" w:hAnsi="Times New Roman"/>
          <w:b w:val="0"/>
          <w:i w:val="0"/>
          <w:sz w:val="24"/>
        </w:rPr>
        <w:t>).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Tra le ulteriori criticità: la </w:t>
      </w:r>
      <w:r>
        <w:rPr>
          <w:rFonts w:ascii="Times New Roman" w:hAnsi="Times New Roman"/>
          <w:b/>
          <w:i w:val="0"/>
          <w:sz w:val="24"/>
        </w:rPr>
        <w:t>gru</w:t>
      </w:r>
      <w:r>
        <w:rPr>
          <w:rFonts w:ascii="Times New Roman" w:hAnsi="Times New Roman"/>
          <w:b w:val="0"/>
          <w:i w:val="0"/>
          <w:sz w:val="24"/>
        </w:rPr>
        <w:t xml:space="preserve"> frequentemente orientata e oscillante sopra l’abitazione, anche nelle ore notturne; l’</w:t>
      </w:r>
      <w:r>
        <w:rPr>
          <w:rFonts w:ascii="Times New Roman" w:hAnsi="Times New Roman"/>
          <w:b/>
          <w:i w:val="0"/>
          <w:sz w:val="24"/>
        </w:rPr>
        <w:t>uso della recinzione della parte istante come confine di cantiere</w:t>
      </w:r>
      <w:r>
        <w:rPr>
          <w:rFonts w:ascii="Times New Roman" w:hAnsi="Times New Roman"/>
          <w:b w:val="0"/>
          <w:i w:val="0"/>
          <w:sz w:val="24"/>
        </w:rPr>
        <w:t>; il fissaggio di cavi al muretto di proprietà; la caduta nel tempo di oggetti dai piani superiori; fumi neri riversati in giardino.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La parte istante ha reiterato segnalazioni al Comune dal </w:t>
      </w:r>
      <w:r>
        <w:rPr>
          <w:rFonts w:ascii="Times New Roman" w:hAnsi="Times New Roman"/>
          <w:b/>
          <w:i w:val="0"/>
          <w:sz w:val="24"/>
        </w:rPr>
        <w:t>7 gennaio 2026</w:t>
      </w:r>
      <w:r>
        <w:rPr>
          <w:rFonts w:ascii="Times New Roman" w:hAnsi="Times New Roman"/>
          <w:b w:val="0"/>
          <w:i w:val="0"/>
          <w:sz w:val="24"/>
        </w:rPr>
        <w:t xml:space="preserve"> e presentato esposto ai Carabinieri il </w:t>
      </w:r>
      <w:r>
        <w:rPr>
          <w:rFonts w:ascii="Times New Roman" w:hAnsi="Times New Roman"/>
          <w:b/>
          <w:i w:val="0"/>
          <w:sz w:val="24"/>
        </w:rPr>
        <w:t>30 aprile 2026</w:t>
      </w:r>
      <w:r>
        <w:rPr>
          <w:rFonts w:ascii="Times New Roman" w:hAnsi="Times New Roman"/>
          <w:b w:val="0"/>
          <w:i w:val="0"/>
          <w:sz w:val="24"/>
        </w:rPr>
        <w:t xml:space="preserve"> (</w:t>
      </w:r>
      <w:r>
        <w:rPr>
          <w:rFonts w:ascii="Times New Roman" w:hAnsi="Times New Roman"/>
          <w:b/>
          <w:i w:val="0"/>
          <w:sz w:val="24"/>
        </w:rPr>
        <w:t>All. 4</w:t>
      </w:r>
      <w:r>
        <w:rPr>
          <w:rFonts w:ascii="Times New Roman" w:hAnsi="Times New Roman"/>
          <w:b w:val="0"/>
          <w:i w:val="0"/>
          <w:sz w:val="24"/>
        </w:rPr>
        <w:t>); il Comune ha riferito di avere redarguito la direzione lavori e ammonito il coordinatore per la sicurezza; non è seguito alcun riscontro risolutivo, né la bonifica è stata eseguita.</w:t>
      </w:r>
    </w:p>
    <w:p>
      <w:pPr>
        <w:keepNext/>
        <w:spacing w:before="280" w:after="120"/>
        <w:jc w:val="left"/>
      </w:pPr>
      <w:r>
        <w:rPr>
          <w:rFonts w:ascii="Times New Roman" w:hAnsi="Times New Roman"/>
          <w:b/>
          <w:i w:val="0"/>
          <w:sz w:val="28"/>
        </w:rPr>
        <w:t>III. DOMANDA (SINTESI)</w:t>
      </w:r>
    </w:p>
    <w:p>
      <w:pPr>
        <w:spacing w:before="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3. </w:t>
      </w:r>
      <w:r>
        <w:rPr>
          <w:rFonts w:ascii="Times New Roman" w:hAnsi="Times New Roman"/>
          <w:b w:val="0"/>
          <w:i w:val="0"/>
          <w:sz w:val="24"/>
        </w:rPr>
        <w:t>Si espongono i fatti e si chiedono: la cessazione delle immissioni intollerabili e degli illeciti di cantiere; l’adozione degli accorgimenti tecnici necessari; la bonifica e il ripristino in forma specifica; il risarcimento dei danni patrimoniali e non patrimoniali; gli accertamenti in ordine ai profili in materia di rifiuti.</w:t>
      </w:r>
    </w:p>
    <w:p>
      <w:pPr>
        <w:keepNext/>
        <w:spacing w:before="280" w:after="120"/>
        <w:jc w:val="left"/>
      </w:pPr>
      <w:r>
        <w:rPr>
          <w:rFonts w:ascii="Times New Roman" w:hAnsi="Times New Roman"/>
          <w:b/>
          <w:i w:val="0"/>
          <w:sz w:val="28"/>
        </w:rPr>
        <w:t>ACCENNI NORMATIVI E GIURISPRUDENZIALI</w:t>
      </w:r>
    </w:p>
    <w:p>
      <w:pPr>
        <w:spacing w:before="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4. </w:t>
      </w:r>
      <w:r>
        <w:rPr>
          <w:rFonts w:ascii="Times New Roman" w:hAnsi="Times New Roman"/>
          <w:b/>
          <w:i w:val="0"/>
          <w:sz w:val="24"/>
        </w:rPr>
        <w:t xml:space="preserve">Immissioni e «normale tollerabilità» ex art. 844 c.c. </w:t>
      </w:r>
      <w:r>
        <w:rPr>
          <w:rFonts w:ascii="Times New Roman" w:hAnsi="Times New Roman"/>
          <w:b w:val="0"/>
          <w:i w:val="0"/>
          <w:sz w:val="24"/>
        </w:rPr>
        <w:t>L’</w:t>
      </w:r>
      <w:r>
        <w:rPr>
          <w:rFonts w:ascii="Times New Roman" w:hAnsi="Times New Roman"/>
          <w:b/>
          <w:i w:val="0"/>
          <w:sz w:val="24"/>
        </w:rPr>
        <w:t>art. 844 c.c.</w:t>
      </w:r>
      <w:r>
        <w:rPr>
          <w:rFonts w:ascii="Times New Roman" w:hAnsi="Times New Roman"/>
          <w:b w:val="0"/>
          <w:i w:val="0"/>
          <w:sz w:val="24"/>
        </w:rPr>
        <w:t xml:space="preserve"> impone di valutare la normale tollerabilità delle immissioni, avuto riguardo alla condizione dei luoghi. La giurisprudenza di legittimità conferma il carattere relativo del giudizio e il ricorso al cd. </w:t>
      </w:r>
      <w:r>
        <w:rPr>
          <w:rFonts w:ascii="Times New Roman" w:hAnsi="Times New Roman"/>
          <w:b/>
          <w:i w:val="0"/>
          <w:sz w:val="24"/>
        </w:rPr>
        <w:t>criterio comparativo</w:t>
      </w:r>
      <w:r>
        <w:rPr>
          <w:rFonts w:ascii="Times New Roman" w:hAnsi="Times New Roman"/>
          <w:b w:val="0"/>
          <w:i w:val="0"/>
          <w:sz w:val="24"/>
        </w:rPr>
        <w:t xml:space="preserve">: la valutazione non prescinde dalla rumorosità di fondo e dalla situazione locale. Il riferimento al </w:t>
      </w:r>
      <w:r>
        <w:rPr>
          <w:rFonts w:ascii="Times New Roman" w:hAnsi="Times New Roman"/>
          <w:b/>
          <w:i w:val="0"/>
          <w:sz w:val="24"/>
        </w:rPr>
        <w:t>criterio differenziale</w:t>
      </w:r>
      <w:r>
        <w:rPr>
          <w:rFonts w:ascii="Times New Roman" w:hAnsi="Times New Roman"/>
          <w:b w:val="0"/>
          <w:i w:val="0"/>
          <w:sz w:val="24"/>
        </w:rPr>
        <w:t xml:space="preserve"> (orientativamente +3 dB(A) nel periodo notturno e +5 dB(A) nel periodo diurno), mutuato dal d.P.C.M. 14 novembre 1997 e dalle norme tecniche, ha valore orientativo nei rapporti tra privati, non vincolante in assoluto. </w:t>
      </w:r>
      <w:r>
        <w:rPr>
          <w:rFonts w:ascii="Times New Roman" w:hAnsi="Times New Roman"/>
          <w:b/>
          <w:i w:val="0"/>
          <w:sz w:val="24"/>
        </w:rPr>
        <w:t>Conclusione operativa</w:t>
      </w:r>
      <w:r>
        <w:rPr>
          <w:rFonts w:ascii="Times New Roman" w:hAnsi="Times New Roman"/>
          <w:b w:val="0"/>
          <w:i w:val="0"/>
          <w:sz w:val="24"/>
        </w:rPr>
        <w:t>: i criteri comparativo e differenziale sono ammissibili quali parametri tecnici, senza assolutizzare le soglie amministrative.</w:t>
      </w:r>
    </w:p>
    <w:p>
      <w:pPr>
        <w:spacing w:before="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5. </w:t>
      </w:r>
      <w:r>
        <w:rPr>
          <w:rFonts w:ascii="Times New Roman" w:hAnsi="Times New Roman"/>
          <w:b/>
          <w:i w:val="0"/>
          <w:sz w:val="24"/>
        </w:rPr>
        <w:t xml:space="preserve">Violazione di norme pubblicistiche (limiti acustici/orari) e art. 2043 c.c. </w:t>
      </w:r>
      <w:r>
        <w:rPr>
          <w:rFonts w:ascii="Times New Roman" w:hAnsi="Times New Roman"/>
          <w:b w:val="0"/>
          <w:i w:val="0"/>
          <w:sz w:val="24"/>
        </w:rPr>
        <w:t xml:space="preserve">Il superamento dei limiti amministrativi o la violazione di orari e regolamenti rileva quale illecito anche civilistico; per converso, il rispetto dei limiti non esclude la possibile intollerabilità ex art. 844 c.c. </w:t>
      </w:r>
      <w:r>
        <w:rPr>
          <w:rFonts w:ascii="Times New Roman" w:hAnsi="Times New Roman"/>
          <w:b/>
          <w:i w:val="0"/>
          <w:sz w:val="24"/>
        </w:rPr>
        <w:t>Conclusione operativa</w:t>
      </w:r>
      <w:r>
        <w:rPr>
          <w:rFonts w:ascii="Times New Roman" w:hAnsi="Times New Roman"/>
          <w:b w:val="0"/>
          <w:i w:val="0"/>
          <w:sz w:val="24"/>
        </w:rPr>
        <w:t xml:space="preserve">: ove accertata la violazione dei limiti del d.P.C.M. 14 novembre 1997 o dei regolamenti comunali sugli orari di cantiere, la condotta è illecita ex </w:t>
      </w:r>
      <w:r>
        <w:rPr>
          <w:rFonts w:ascii="Times New Roman" w:hAnsi="Times New Roman"/>
          <w:b/>
          <w:i w:val="0"/>
          <w:sz w:val="24"/>
        </w:rPr>
        <w:t>art. 2043 c.c.</w:t>
      </w:r>
      <w:r>
        <w:rPr>
          <w:rFonts w:ascii="Times New Roman" w:hAnsi="Times New Roman"/>
          <w:b w:val="0"/>
          <w:i w:val="0"/>
          <w:sz w:val="24"/>
        </w:rPr>
        <w:t>; e anche immissioni «nei limiti» possono risultare in concreto intollerabili.</w:t>
      </w:r>
    </w:p>
    <w:p>
      <w:pPr>
        <w:spacing w:before="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6. </w:t>
      </w:r>
      <w:r>
        <w:rPr>
          <w:rFonts w:ascii="Times New Roman" w:hAnsi="Times New Roman"/>
          <w:b/>
          <w:i w:val="0"/>
          <w:sz w:val="24"/>
        </w:rPr>
        <w:t xml:space="preserve">Tutela inibitoria, risarcimento (artt. 2043 e 2058 c.c.) e cumulo di azioni. </w:t>
      </w:r>
      <w:r>
        <w:rPr>
          <w:rFonts w:ascii="Times New Roman" w:hAnsi="Times New Roman"/>
          <w:b w:val="0"/>
          <w:i w:val="0"/>
          <w:sz w:val="24"/>
        </w:rPr>
        <w:t xml:space="preserve">Il cumulo tra azione inibitoria ex </w:t>
      </w:r>
      <w:r>
        <w:rPr>
          <w:rFonts w:ascii="Times New Roman" w:hAnsi="Times New Roman"/>
          <w:b/>
          <w:i w:val="0"/>
          <w:sz w:val="24"/>
        </w:rPr>
        <w:t>art. 844 c.c.</w:t>
      </w:r>
      <w:r>
        <w:rPr>
          <w:rFonts w:ascii="Times New Roman" w:hAnsi="Times New Roman"/>
          <w:b w:val="0"/>
          <w:i w:val="0"/>
          <w:sz w:val="24"/>
        </w:rPr>
        <w:t xml:space="preserve">, azione risarcitoria ex </w:t>
      </w:r>
      <w:r>
        <w:rPr>
          <w:rFonts w:ascii="Times New Roman" w:hAnsi="Times New Roman"/>
          <w:b/>
          <w:i w:val="0"/>
          <w:sz w:val="24"/>
        </w:rPr>
        <w:t>art. 2043 c.c.</w:t>
      </w:r>
      <w:r>
        <w:rPr>
          <w:rFonts w:ascii="Times New Roman" w:hAnsi="Times New Roman"/>
          <w:b w:val="0"/>
          <w:i w:val="0"/>
          <w:sz w:val="24"/>
        </w:rPr>
        <w:t xml:space="preserve"> e risarcimento in forma specifica ex </w:t>
      </w:r>
      <w:r>
        <w:rPr>
          <w:rFonts w:ascii="Times New Roman" w:hAnsi="Times New Roman"/>
          <w:b/>
          <w:i w:val="0"/>
          <w:sz w:val="24"/>
        </w:rPr>
        <w:t>art. 2058 c.c.</w:t>
      </w:r>
      <w:r>
        <w:rPr>
          <w:rFonts w:ascii="Times New Roman" w:hAnsi="Times New Roman"/>
          <w:b w:val="0"/>
          <w:i w:val="0"/>
          <w:sz w:val="24"/>
        </w:rPr>
        <w:t xml:space="preserve"> è ammesso dalla giurisprudenza di legittimità (</w:t>
      </w:r>
      <w:r>
        <w:rPr>
          <w:rFonts w:ascii="Times New Roman" w:hAnsi="Times New Roman"/>
          <w:b/>
          <w:i w:val="0"/>
          <w:sz w:val="24"/>
        </w:rPr>
        <w:t>Cass. civ., Sez. Un., n. 20571/2013</w:t>
      </w:r>
      <w:r>
        <w:rPr>
          <w:rFonts w:ascii="Times New Roman" w:hAnsi="Times New Roman"/>
          <w:b w:val="0"/>
          <w:i w:val="0"/>
          <w:sz w:val="24"/>
        </w:rPr>
        <w:t xml:space="preserve">). L’art. 2058 c.c. consente la reintegrazione in forma specifica ove possibile, potendo il giudice disporre l’equivalente se essa risulti eccessivamente onerosa; nelle azioni a tutela di diritti reali la </w:t>
      </w:r>
      <w:r>
        <w:rPr>
          <w:rFonts w:ascii="Times New Roman" w:hAnsi="Times New Roman"/>
          <w:b w:val="0"/>
          <w:i/>
          <w:sz w:val="24"/>
        </w:rPr>
        <w:t>restitutio in integrum</w:t>
      </w:r>
      <w:r>
        <w:rPr>
          <w:rFonts w:ascii="Times New Roman" w:hAnsi="Times New Roman"/>
          <w:b w:val="0"/>
          <w:i w:val="0"/>
          <w:sz w:val="24"/>
        </w:rPr>
        <w:t xml:space="preserve"> è regola, salvo impossibilità o domanda dell’attore per equivalente. La domanda di reintegrazione comprende implicitamente il «meno» per equivalente (</w:t>
      </w:r>
      <w:r>
        <w:rPr>
          <w:rFonts w:ascii="Times New Roman" w:hAnsi="Times New Roman"/>
          <w:b/>
          <w:i w:val="0"/>
          <w:sz w:val="24"/>
        </w:rPr>
        <w:t>Cass. civ., Sez. III, n. 17264/2025</w:t>
      </w:r>
      <w:r>
        <w:rPr>
          <w:rFonts w:ascii="Times New Roman" w:hAnsi="Times New Roman"/>
          <w:b w:val="0"/>
          <w:i w:val="0"/>
          <w:sz w:val="24"/>
        </w:rPr>
        <w:t xml:space="preserve">). </w:t>
      </w:r>
      <w:r>
        <w:rPr>
          <w:rFonts w:ascii="Times New Roman" w:hAnsi="Times New Roman"/>
          <w:b/>
          <w:i w:val="0"/>
          <w:sz w:val="24"/>
        </w:rPr>
        <w:t>Conclusione operativa</w:t>
      </w:r>
      <w:r>
        <w:rPr>
          <w:rFonts w:ascii="Times New Roman" w:hAnsi="Times New Roman"/>
          <w:b w:val="0"/>
          <w:i w:val="0"/>
          <w:sz w:val="24"/>
        </w:rPr>
        <w:t>: tutela inibitoria e reintegrazione in forma specifica, con eventuale equivalente, in cumulo con il risarcimento del danno.</w:t>
      </w:r>
    </w:p>
    <w:p>
      <w:pPr>
        <w:spacing w:before="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7. </w:t>
      </w:r>
      <w:r>
        <w:rPr>
          <w:rFonts w:ascii="Times New Roman" w:hAnsi="Times New Roman"/>
          <w:b/>
          <w:i w:val="0"/>
          <w:sz w:val="24"/>
        </w:rPr>
        <w:t xml:space="preserve">Danno non patrimoniale da immissioni. </w:t>
      </w:r>
      <w:r>
        <w:rPr>
          <w:rFonts w:ascii="Times New Roman" w:hAnsi="Times New Roman"/>
          <w:b w:val="0"/>
          <w:i w:val="0"/>
          <w:sz w:val="24"/>
        </w:rPr>
        <w:t xml:space="preserve">Le immissioni intollerabili che comprimono il diritto al riposo e alla vivibilità dell’abitazione integrano danno non patrimoniale risarcibile, da provare anche per presunzioni e liquidabile in via equitativa; il danno non è </w:t>
      </w:r>
      <w:r>
        <w:rPr>
          <w:rFonts w:ascii="Times New Roman" w:hAnsi="Times New Roman"/>
          <w:b w:val="0"/>
          <w:i/>
          <w:sz w:val="24"/>
        </w:rPr>
        <w:t>in re ipsa</w:t>
      </w:r>
      <w:r>
        <w:rPr>
          <w:rFonts w:ascii="Times New Roman" w:hAnsi="Times New Roman"/>
          <w:b w:val="0"/>
          <w:i w:val="0"/>
          <w:sz w:val="24"/>
        </w:rPr>
        <w:t xml:space="preserve">. </w:t>
      </w:r>
      <w:r>
        <w:rPr>
          <w:rFonts w:ascii="Times New Roman" w:hAnsi="Times New Roman"/>
          <w:b/>
          <w:i w:val="0"/>
          <w:sz w:val="24"/>
        </w:rPr>
        <w:t>Conclusione operativa</w:t>
      </w:r>
      <w:r>
        <w:rPr>
          <w:rFonts w:ascii="Times New Roman" w:hAnsi="Times New Roman"/>
          <w:b w:val="0"/>
          <w:i w:val="0"/>
          <w:sz w:val="24"/>
        </w:rPr>
        <w:t>: onere probatorio mirato sui pregiudizi concretamente subiti (</w:t>
      </w:r>
      <w:r>
        <w:rPr>
          <w:rFonts w:ascii="Times New Roman" w:hAnsi="Times New Roman"/>
          <w:b/>
          <w:i w:val="0"/>
          <w:sz w:val="24"/>
        </w:rPr>
        <w:t>art. 2697 c.c.</w:t>
      </w:r>
      <w:r>
        <w:rPr>
          <w:rFonts w:ascii="Times New Roman" w:hAnsi="Times New Roman"/>
          <w:b w:val="0"/>
          <w:i w:val="0"/>
          <w:sz w:val="24"/>
        </w:rPr>
        <w:t>).</w:t>
      </w:r>
    </w:p>
    <w:p>
      <w:pPr>
        <w:spacing w:before="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8. </w:t>
      </w:r>
      <w:r>
        <w:rPr>
          <w:rFonts w:ascii="Times New Roman" w:hAnsi="Times New Roman"/>
          <w:b/>
          <w:i w:val="0"/>
          <w:sz w:val="24"/>
        </w:rPr>
        <w:t xml:space="preserve">Profili in materia di rifiuti (polistirolo da cantiere). </w:t>
      </w:r>
      <w:r>
        <w:rPr>
          <w:rFonts w:ascii="Times New Roman" w:hAnsi="Times New Roman"/>
          <w:b w:val="0"/>
          <w:i w:val="0"/>
          <w:sz w:val="24"/>
        </w:rPr>
        <w:t>Vige il divieto di abbandono e di deposito incontrollato di rifiuti sul suolo, nel suolo e nelle acque, con obbligo di rimozione, avvio a recupero/smaltimento e ripristino dello stato dei luoghi, anche mediante ordinanza del Sindaco, e possibile solidarietà del proprietario o degli aventi diritto in caso di dolo o colpa (</w:t>
      </w:r>
      <w:r>
        <w:rPr>
          <w:rFonts w:ascii="Times New Roman" w:hAnsi="Times New Roman"/>
          <w:b/>
          <w:i w:val="0"/>
          <w:sz w:val="24"/>
        </w:rPr>
        <w:t>art. 192 d.lgs. 152/2006</w:t>
      </w:r>
      <w:r>
        <w:rPr>
          <w:rFonts w:ascii="Times New Roman" w:hAnsi="Times New Roman"/>
          <w:b w:val="0"/>
          <w:i w:val="0"/>
          <w:sz w:val="24"/>
        </w:rPr>
        <w:t>). Sul piano sanzionatorio, l’</w:t>
      </w:r>
      <w:r>
        <w:rPr>
          <w:rFonts w:ascii="Times New Roman" w:hAnsi="Times New Roman"/>
          <w:b/>
          <w:i w:val="0"/>
          <w:sz w:val="24"/>
        </w:rPr>
        <w:t>art. 255 d.lgs. 152/2006</w:t>
      </w:r>
      <w:r>
        <w:rPr>
          <w:rFonts w:ascii="Times New Roman" w:hAnsi="Times New Roman"/>
          <w:b w:val="0"/>
          <w:i w:val="0"/>
          <w:sz w:val="24"/>
        </w:rPr>
        <w:t xml:space="preserve"> punisce l’abbandono (ammenda per chiunque; arresto o ammenda per i titolari di impresa o responsabili di enti; reato in caso di inottemperanza all’ordinanza sindacale), mentre l’</w:t>
      </w:r>
      <w:r>
        <w:rPr>
          <w:rFonts w:ascii="Times New Roman" w:hAnsi="Times New Roman"/>
          <w:b/>
          <w:i w:val="0"/>
          <w:sz w:val="24"/>
        </w:rPr>
        <w:t>art. 256 d.lgs. 152/2006</w:t>
      </w:r>
      <w:r>
        <w:rPr>
          <w:rFonts w:ascii="Times New Roman" w:hAnsi="Times New Roman"/>
          <w:b w:val="0"/>
          <w:i w:val="0"/>
          <w:sz w:val="24"/>
        </w:rPr>
        <w:t xml:space="preserve"> sanziona la gestione non autorizzata, con il comma 2 riferito ai titolari d’impresa o responsabili d’ente che abbandonano o depositano in modo incontrollato rifiuti. La natura speciale dell’art. 256, comma 2, rispetto all’art. 255, comma 1, è stata ribadita (</w:t>
      </w:r>
      <w:r>
        <w:rPr>
          <w:rFonts w:ascii="Times New Roman" w:hAnsi="Times New Roman"/>
          <w:b/>
          <w:i w:val="0"/>
          <w:sz w:val="24"/>
        </w:rPr>
        <w:t>Cass. pen., Sez. III, n. 7066/2026</w:t>
      </w:r>
      <w:r>
        <w:rPr>
          <w:rFonts w:ascii="Times New Roman" w:hAnsi="Times New Roman"/>
          <w:b w:val="0"/>
          <w:i w:val="0"/>
          <w:sz w:val="24"/>
        </w:rPr>
        <w:t>), così come il principio per cui l’abbandono è punito in quanto tale, anche in assenza di danno ambientale provato (</w:t>
      </w:r>
      <w:r>
        <w:rPr>
          <w:rFonts w:ascii="Times New Roman" w:hAnsi="Times New Roman"/>
          <w:b/>
          <w:i w:val="0"/>
          <w:sz w:val="24"/>
        </w:rPr>
        <w:t>Cass. pen., Sez. III, n. 14958/2024</w:t>
      </w:r>
      <w:r>
        <w:rPr>
          <w:rFonts w:ascii="Times New Roman" w:hAnsi="Times New Roman"/>
          <w:b w:val="0"/>
          <w:i w:val="0"/>
          <w:sz w:val="24"/>
        </w:rPr>
        <w:t xml:space="preserve">). </w:t>
      </w:r>
      <w:r>
        <w:rPr>
          <w:rFonts w:ascii="Times New Roman" w:hAnsi="Times New Roman"/>
          <w:b/>
          <w:i w:val="0"/>
          <w:sz w:val="24"/>
        </w:rPr>
        <w:t>Conclusione operativa</w:t>
      </w:r>
      <w:r>
        <w:rPr>
          <w:rFonts w:ascii="Times New Roman" w:hAnsi="Times New Roman"/>
          <w:b w:val="0"/>
          <w:i w:val="0"/>
          <w:sz w:val="24"/>
        </w:rPr>
        <w:t>: la dispersione di polistirolo oltre confine integra la violazione dell’art. 192 d.lgs. 152/2006, con obbligo di rimozione e ripristino; per l’impresa possono configurarsi le fattispecie degli artt. 255 e 256; l’inottemperanza all’ordinanza sindacale integra reato autonomo.</w:t>
      </w:r>
    </w:p>
    <w:p>
      <w:pPr>
        <w:spacing w:before="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9. </w:t>
      </w:r>
      <w:r>
        <w:rPr>
          <w:rFonts w:ascii="Times New Roman" w:hAnsi="Times New Roman"/>
          <w:b/>
          <w:i w:val="0"/>
          <w:sz w:val="24"/>
        </w:rPr>
        <w:t xml:space="preserve">Responsabilità per danni da appalto verso terzi: appaltatore, committente, direttore dei lavori. </w:t>
      </w:r>
      <w:r>
        <w:rPr>
          <w:rFonts w:ascii="Times New Roman" w:hAnsi="Times New Roman"/>
          <w:b w:val="0"/>
          <w:i w:val="0"/>
          <w:sz w:val="24"/>
        </w:rPr>
        <w:t xml:space="preserve">Per regola risponde verso i terzi l’appaltatore; il committente concorre in caso di </w:t>
      </w:r>
      <w:r>
        <w:rPr>
          <w:rFonts w:ascii="Times New Roman" w:hAnsi="Times New Roman"/>
          <w:b w:val="0"/>
          <w:i/>
          <w:sz w:val="24"/>
        </w:rPr>
        <w:t>culpa in eligendo</w:t>
      </w:r>
      <w:r>
        <w:rPr>
          <w:rFonts w:ascii="Times New Roman" w:hAnsi="Times New Roman"/>
          <w:b w:val="0"/>
          <w:i w:val="0"/>
          <w:sz w:val="24"/>
        </w:rPr>
        <w:t xml:space="preserve">, di ingerenza o quale custode ex </w:t>
      </w:r>
      <w:r>
        <w:rPr>
          <w:rFonts w:ascii="Times New Roman" w:hAnsi="Times New Roman"/>
          <w:b/>
          <w:i w:val="0"/>
          <w:sz w:val="24"/>
        </w:rPr>
        <w:t>art. 2051 c.c.</w:t>
      </w:r>
      <w:r>
        <w:rPr>
          <w:rFonts w:ascii="Times New Roman" w:hAnsi="Times New Roman"/>
          <w:b w:val="0"/>
          <w:i w:val="0"/>
          <w:sz w:val="24"/>
        </w:rPr>
        <w:t xml:space="preserve">, con possibile solidarietà ex </w:t>
      </w:r>
      <w:r>
        <w:rPr>
          <w:rFonts w:ascii="Times New Roman" w:hAnsi="Times New Roman"/>
          <w:b/>
          <w:i w:val="0"/>
          <w:sz w:val="24"/>
        </w:rPr>
        <w:t>art. 2055 c.c.</w:t>
      </w:r>
      <w:r>
        <w:rPr>
          <w:rFonts w:ascii="Times New Roman" w:hAnsi="Times New Roman"/>
          <w:b w:val="0"/>
          <w:i w:val="0"/>
          <w:sz w:val="24"/>
        </w:rPr>
        <w:t xml:space="preserve"> ove concorrano più autori. Il direttore dei lavori non è, di per sé, titolare di una posizione di garanzia sulla gestione dei rifiuti, rispondendo solo in caso di concreta ingerenza o partecipazione; la sua responsabilità civile si fonda sugli obblighi di alta sorveglianza e sulla </w:t>
      </w:r>
      <w:r>
        <w:rPr>
          <w:rFonts w:ascii="Times New Roman" w:hAnsi="Times New Roman"/>
          <w:b w:val="0"/>
          <w:i/>
          <w:sz w:val="24"/>
        </w:rPr>
        <w:t>diligentia quam in concreto</w:t>
      </w:r>
      <w:r>
        <w:rPr>
          <w:rFonts w:ascii="Times New Roman" w:hAnsi="Times New Roman"/>
          <w:b w:val="0"/>
          <w:i w:val="0"/>
          <w:sz w:val="24"/>
        </w:rPr>
        <w:t>, con doveri di vigilanza e segnalazione, pur senza presenza continua in cantiere (</w:t>
      </w:r>
      <w:r>
        <w:rPr>
          <w:rFonts w:ascii="Times New Roman" w:hAnsi="Times New Roman"/>
          <w:b/>
          <w:i w:val="0"/>
          <w:sz w:val="24"/>
        </w:rPr>
        <w:t>Cass. pen., Sez. III, n. 37511/2025</w:t>
      </w:r>
      <w:r>
        <w:rPr>
          <w:rFonts w:ascii="Times New Roman" w:hAnsi="Times New Roman"/>
          <w:b w:val="0"/>
          <w:i w:val="0"/>
          <w:sz w:val="24"/>
        </w:rPr>
        <w:t>). In caso di concorso causale tra appaltatore, progettista/direttore dei lavori e committente si applica l’art. 2055 c.c., con riparto secondo la gravità delle rispettive colpe e, nel dubbio, in parti uguali (</w:t>
      </w:r>
      <w:r>
        <w:rPr>
          <w:rFonts w:ascii="Times New Roman" w:hAnsi="Times New Roman"/>
          <w:b/>
          <w:i w:val="0"/>
          <w:sz w:val="24"/>
        </w:rPr>
        <w:t>Cass. civ., Sez. III, ord. n. 17359/2025</w:t>
      </w:r>
      <w:r>
        <w:rPr>
          <w:rFonts w:ascii="Times New Roman" w:hAnsi="Times New Roman"/>
          <w:b w:val="0"/>
          <w:i w:val="0"/>
          <w:sz w:val="24"/>
        </w:rPr>
        <w:t xml:space="preserve">). </w:t>
      </w:r>
      <w:r>
        <w:rPr>
          <w:rFonts w:ascii="Times New Roman" w:hAnsi="Times New Roman"/>
          <w:b/>
          <w:i w:val="0"/>
          <w:sz w:val="24"/>
        </w:rPr>
        <w:t>Conclusione operativa</w:t>
      </w:r>
      <w:r>
        <w:rPr>
          <w:rFonts w:ascii="Times New Roman" w:hAnsi="Times New Roman"/>
          <w:b w:val="0"/>
          <w:i w:val="0"/>
          <w:sz w:val="24"/>
        </w:rPr>
        <w:t>: per la dispersione e i danni da cantiere risponde in via principale l’appaltatore; committente e direttore dei lavori sono valutabili sulla prova della concreta ingerenza o colpa; la responsabilità è potenzialmente solidale ove provato il concorso causale.</w:t>
      </w:r>
    </w:p>
    <w:p>
      <w:pPr>
        <w:keepNext/>
        <w:spacing w:before="280" w:after="120"/>
        <w:jc w:val="left"/>
      </w:pPr>
      <w:r>
        <w:rPr>
          <w:rFonts w:ascii="Times New Roman" w:hAnsi="Times New Roman"/>
          <w:b/>
          <w:i w:val="0"/>
          <w:sz w:val="28"/>
        </w:rPr>
        <w:t>ALLEGATI</w:t>
      </w:r>
    </w:p>
    <w:p>
      <w:pPr>
        <w:spacing w:before="0" w:after="8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All. 1 - Carteggio con l’Ufficio Tecnico del Comune di San Paolo d’Argon (gennaio-maggio 2026), inclusa la comunicazione del 22 aprile 2026.</w:t>
      </w:r>
    </w:p>
    <w:p>
      <w:pPr>
        <w:spacing w:before="0" w:after="8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All. 2 - Documentazione fotografica (polistirolo, grata del box, macchie d’olio, gru).</w:t>
      </w:r>
    </w:p>
    <w:p>
      <w:pPr>
        <w:spacing w:before="0" w:after="8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All. 3 - Preventivo di bonifica VLP Service (€ 1.000,00).</w:t>
      </w:r>
    </w:p>
    <w:p>
      <w:pPr>
        <w:spacing w:before="0" w:after="8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All. 4 - Verbale di ricezione esposto, Stazione Carabinieri di Trescore Balneario, 30 aprile 2026.</w:t>
      </w:r>
    </w:p>
    <w:sectPr w:rsidR="0021690B" w:rsidRPr="00C16918" w:rsidSect="00135A5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3353" w:right="1134" w:bottom="2572" w:left="1134" w:header="737" w:footer="340" w:gutter="0"/>
      <w:pgNumType w:start="1"/>
      <w:cols w:space="1701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F14CD" w14:textId="77777777" w:rsidR="00DC755C" w:rsidRDefault="00DC755C">
      <w:r>
        <w:separator/>
      </w:r>
    </w:p>
  </w:endnote>
  <w:endnote w:type="continuationSeparator" w:id="0">
    <w:p w14:paraId="002A092D" w14:textId="77777777" w:rsidR="00DC755C" w:rsidRDefault="00DC75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704F9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339DD" w14:textId="0E8A7BA2" w:rsidR="0021690B" w:rsidRPr="00B42B57" w:rsidRDefault="0021690B">
    <w:pPr>
      <w:pStyle w:val="Pidipagina"/>
      <w:pBdr>
        <w:bottom w:val="single" w:sz="1" w:space="0" w:color="000000"/>
      </w:pBdr>
      <w:spacing w:line="360" w:lineRule="auto"/>
      <w:jc w:val="right"/>
      <w:rPr>
        <w:color w:val="44546A"/>
        <w:sz w:val="20"/>
        <w:szCs w:val="20"/>
      </w:rPr>
    </w:pPr>
  </w:p>
  <w:p w14:paraId="1B2F7F58" w14:textId="77777777" w:rsidR="0021690B" w:rsidRPr="00B42B57" w:rsidRDefault="0021690B">
    <w:pPr>
      <w:tabs>
        <w:tab w:val="left" w:pos="5954"/>
      </w:tabs>
      <w:jc w:val="center"/>
      <w:rPr>
        <w:rFonts w:ascii="Book Antiqua" w:eastAsia="Times New Roman" w:hAnsi="Book Antiqua"/>
        <w:bCs/>
        <w:color w:val="44546A"/>
        <w:sz w:val="20"/>
        <w:szCs w:val="20"/>
      </w:rPr>
    </w:pPr>
  </w:p>
  <w:p w14:paraId="08352552" w14:textId="77777777" w:rsidR="0021690B" w:rsidRPr="00957F57" w:rsidRDefault="00000000">
    <w:pPr>
      <w:tabs>
        <w:tab w:val="left" w:pos="5954"/>
      </w:tabs>
      <w:spacing w:before="60"/>
      <w:jc w:val="center"/>
      <w:rPr>
        <w:rFonts w:ascii="Garamond" w:eastAsia="Times New Roman" w:hAnsi="Garamond"/>
        <w:bCs/>
        <w:color w:val="44546A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R.E.A. BG 472665 - Capitale Sociale € 100.000 (versato € 75.000) - C.F. e P.IVA 04565220169</w:t>
    </w:r>
  </w:p>
  <w:p w14:paraId="79E55FCD" w14:textId="77777777" w:rsidR="0021690B" w:rsidRPr="00957F57" w:rsidRDefault="00000000">
    <w:pPr>
      <w:tabs>
        <w:tab w:val="left" w:pos="5954"/>
      </w:tabs>
      <w:spacing w:before="60"/>
      <w:jc w:val="center"/>
      <w:rPr>
        <w:rFonts w:ascii="Garamond" w:eastAsia="Times New Roman" w:hAnsi="Garamond"/>
        <w:bCs/>
        <w:color w:val="44546A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Iscritta all’Ordine degli Avvocati di Bergamo con il n. 14</w:t>
    </w:r>
  </w:p>
  <w:p w14:paraId="6F993155" w14:textId="65E4BA67" w:rsidR="0021690B" w:rsidRPr="00957F57" w:rsidRDefault="00000000">
    <w:pPr>
      <w:pStyle w:val="Pidipagina"/>
      <w:tabs>
        <w:tab w:val="clear" w:pos="4818"/>
        <w:tab w:val="clear" w:pos="9637"/>
        <w:tab w:val="center" w:pos="4819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+39 351 83 13 103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hyperlink r:id="rId1" w:tooltip="mailto:info@bergamo.legal" w:history="1">
      <w:r w:rsidR="0021690B" w:rsidRPr="00957F57">
        <w:rPr>
          <w:rStyle w:val="Collegamentoipertestuale"/>
          <w:rFonts w:ascii="Garamond" w:eastAsia="Times New Roman" w:hAnsi="Garamond"/>
          <w:bCs/>
          <w:iCs/>
          <w:sz w:val="20"/>
          <w:szCs w:val="20"/>
        </w:rPr>
        <w:t>info@bergamo.legal</w:t>
      </w:r>
    </w:hyperlink>
  </w:p>
  <w:p w14:paraId="63067F71" w14:textId="5E70C9D0" w:rsidR="0021690B" w:rsidRPr="00957F57" w:rsidRDefault="00000000">
    <w:pPr>
      <w:pStyle w:val="Pidipagina"/>
      <w:tabs>
        <w:tab w:val="clear" w:pos="4818"/>
        <w:tab w:val="clear" w:pos="9637"/>
        <w:tab w:val="center" w:pos="4819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+39 035 29 03 53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hyperlink r:id="rId2" w:tooltip="mailto:bergamo.legal@ultracert.it" w:history="1">
      <w:r w:rsidR="0021690B" w:rsidRPr="00957F57">
        <w:rPr>
          <w:rStyle w:val="Collegamentoipertestuale"/>
          <w:rFonts w:ascii="Garamond" w:eastAsia="Times New Roman" w:hAnsi="Garamond"/>
          <w:bCs/>
          <w:sz w:val="20"/>
          <w:szCs w:val="20"/>
        </w:rPr>
        <w:t>bergamo.legal@ultracert.it</w:t>
      </w:r>
    </w:hyperlink>
  </w:p>
  <w:p w14:paraId="0B53EBBE" w14:textId="27FB278D" w:rsidR="0021690B" w:rsidRPr="00957F57" w:rsidRDefault="00000000">
    <w:pPr>
      <w:pStyle w:val="Pidipagina"/>
      <w:tabs>
        <w:tab w:val="clear" w:pos="4818"/>
        <w:tab w:val="clear" w:pos="9637"/>
        <w:tab w:val="right" w:pos="9638"/>
      </w:tabs>
      <w:spacing w:before="60"/>
      <w:jc w:val="both"/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+39 035 21 76 14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Via Fratelli Calvi 10E - </w:t>
    </w:r>
    <w:r w:rsidRPr="00957F57">
      <w:rPr>
        <w:rStyle w:val="Collegamentoipertestuale"/>
        <w:rFonts w:ascii="Garamond" w:eastAsia="Times New Roman" w:hAnsi="Garamond"/>
        <w:b/>
        <w:iCs/>
        <w:sz w:val="20"/>
        <w:szCs w:val="20"/>
        <w:u w:val="none"/>
      </w:rPr>
      <w:t>BERGAMO</w:t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 (24122 BG) - IT</w:t>
    </w:r>
  </w:p>
  <w:p w14:paraId="2D879BC3" w14:textId="30685787" w:rsidR="0021690B" w:rsidRPr="00957F57" w:rsidRDefault="00000000">
    <w:pPr>
      <w:pStyle w:val="Pidipagina"/>
      <w:tabs>
        <w:tab w:val="clear" w:pos="4818"/>
        <w:tab w:val="clear" w:pos="9637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ab/>
      <w:t xml:space="preserve">Via Montenapoleone 8 - </w:t>
    </w:r>
    <w:r w:rsidRPr="00957F57">
      <w:rPr>
        <w:rStyle w:val="Collegamentoipertestuale"/>
        <w:rFonts w:ascii="Garamond" w:eastAsia="Times New Roman" w:hAnsi="Garamond"/>
        <w:b/>
        <w:iCs/>
        <w:sz w:val="20"/>
        <w:szCs w:val="20"/>
        <w:u w:val="none"/>
      </w:rPr>
      <w:t>MILANO</w:t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 (20121 MI) - IT</w:t>
    </w:r>
  </w:p>
  <w:p w14:paraId="466F431C" w14:textId="21C77518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center" w:pos="4819"/>
        <w:tab w:val="right" w:pos="9637"/>
        <w:tab w:val="right" w:pos="9638"/>
      </w:tabs>
      <w:spacing w:before="60"/>
      <w:jc w:val="both"/>
      <w:rPr>
        <w:rFonts w:ascii="Book Antiqua" w:eastAsia="Book Antiqua" w:hAnsi="Book Antiqua" w:cs="Book Antiqua"/>
        <w:color w:val="1F497D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8D134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6FF0A" w14:textId="77777777" w:rsidR="00DC755C" w:rsidRDefault="00DC755C">
      <w:r>
        <w:separator/>
      </w:r>
    </w:p>
  </w:footnote>
  <w:footnote w:type="continuationSeparator" w:id="0">
    <w:p w14:paraId="73F866AF" w14:textId="77777777" w:rsidR="00DC755C" w:rsidRDefault="00DC75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CD716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B490F" w14:textId="51F34EF4" w:rsidR="00FF6AF5" w:rsidRPr="006D69A1" w:rsidRDefault="00FF6AF5" w:rsidP="00FF6AF5">
    <w:pPr>
      <w:ind w:right="3968"/>
      <w:jc w:val="both"/>
      <w:rPr>
        <w:rFonts w:ascii="Garamond" w:hAnsi="Garamond"/>
        <w:b/>
        <w:bCs/>
        <w:iCs/>
        <w:sz w:val="32"/>
        <w:szCs w:val="32"/>
      </w:rPr>
    </w:pPr>
    <w:r w:rsidRPr="006D69A1">
      <w:rPr>
        <w:rFonts w:ascii="Garamond" w:hAnsi="Garamond"/>
        <w:b/>
        <w:bCs/>
        <w:iCs/>
        <w:noProof/>
        <w:sz w:val="32"/>
        <w:szCs w:val="32"/>
      </w:rPr>
      <w:drawing>
        <wp:anchor distT="0" distB="0" distL="114300" distR="114300" simplePos="0" relativeHeight="251658240" behindDoc="1" locked="0" layoutInCell="1" allowOverlap="1" wp14:anchorId="754C8756" wp14:editId="09C2D6AE">
          <wp:simplePos x="0" y="0"/>
          <wp:positionH relativeFrom="column">
            <wp:posOffset>3822700</wp:posOffset>
          </wp:positionH>
          <wp:positionV relativeFrom="paragraph">
            <wp:posOffset>-8255</wp:posOffset>
          </wp:positionV>
          <wp:extent cx="2240915" cy="1520825"/>
          <wp:effectExtent l="0" t="0" r="6985" b="3175"/>
          <wp:wrapTight wrapText="bothSides">
            <wp:wrapPolygon edited="0">
              <wp:start x="0" y="0"/>
              <wp:lineTo x="0" y="21375"/>
              <wp:lineTo x="21484" y="21375"/>
              <wp:lineTo x="21484" y="0"/>
              <wp:lineTo x="0" y="0"/>
            </wp:wrapPolygon>
          </wp:wrapTight>
          <wp:docPr id="346752023" name="Immagin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6590480" name="Immagine 656590480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081" t="26632" r="15074" b="26635"/>
                  <a:stretch>
                    <a:fillRect/>
                  </a:stretch>
                </pic:blipFill>
                <pic:spPr bwMode="auto">
                  <a:xfrm>
                    <a:off x="0" y="0"/>
                    <a:ext cx="2240915" cy="15208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D69A1">
      <w:rPr>
        <w:rFonts w:ascii="Garamond" w:hAnsi="Garamond"/>
        <w:b/>
        <w:bCs/>
        <w:iCs/>
        <w:sz w:val="32"/>
        <w:szCs w:val="32"/>
      </w:rPr>
      <w:t>BERGAMO LEGAL</w:t>
    </w:r>
  </w:p>
  <w:p w14:paraId="144E8F75" w14:textId="77777777" w:rsidR="00FF6AF5" w:rsidRPr="006D69A1" w:rsidRDefault="00FF6AF5" w:rsidP="00FF6AF5">
    <w:pPr>
      <w:ind w:right="3968"/>
      <w:jc w:val="both"/>
      <w:rPr>
        <w:rFonts w:ascii="Garamond" w:hAnsi="Garamond"/>
        <w:b/>
        <w:bCs/>
        <w:iCs/>
        <w:sz w:val="32"/>
        <w:szCs w:val="32"/>
      </w:rPr>
    </w:pPr>
    <w:r w:rsidRPr="006D69A1">
      <w:rPr>
        <w:rFonts w:ascii="Garamond" w:hAnsi="Garamond"/>
        <w:b/>
        <w:bCs/>
        <w:iCs/>
        <w:sz w:val="32"/>
        <w:szCs w:val="32"/>
      </w:rPr>
      <w:t>Società tra Avvocati s.r.l.</w:t>
    </w:r>
  </w:p>
  <w:p w14:paraId="3E42FEBF" w14:textId="77777777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</w:p>
  <w:p w14:paraId="33B71A34" w14:textId="2B33B869" w:rsidR="00FF6AF5" w:rsidRPr="006D69A1" w:rsidRDefault="00FF6AF5" w:rsidP="00FF6AF5">
    <w:pPr>
      <w:ind w:right="3968"/>
      <w:jc w:val="both"/>
      <w:rPr>
        <w:rFonts w:ascii="Garamond" w:hAnsi="Garamond"/>
        <w:iCs/>
        <w:sz w:val="28"/>
        <w:szCs w:val="28"/>
      </w:rPr>
    </w:pPr>
    <w:r w:rsidRPr="006D69A1">
      <w:rPr>
        <w:rFonts w:ascii="Garamond" w:hAnsi="Garamond"/>
        <w:iCs/>
        <w:sz w:val="28"/>
        <w:szCs w:val="28"/>
      </w:rPr>
      <w:t>www.bergamo.legal</w:t>
    </w:r>
  </w:p>
  <w:p w14:paraId="2FB6C3F6" w14:textId="77777777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</w:p>
  <w:p w14:paraId="132B90A1" w14:textId="12750E6A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  <w:r w:rsidRPr="006D69A1">
      <w:rPr>
        <w:rFonts w:ascii="Garamond" w:hAnsi="Garamond"/>
        <w:i/>
        <w:sz w:val="28"/>
        <w:szCs w:val="28"/>
      </w:rPr>
      <w:t>Avv. Matteo Bertocchi</w:t>
    </w:r>
  </w:p>
  <w:p w14:paraId="70698A7B" w14:textId="7D160CBB" w:rsidR="0021690B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  <w:r w:rsidRPr="006D69A1">
      <w:rPr>
        <w:rFonts w:ascii="Garamond" w:hAnsi="Garamond"/>
        <w:i/>
        <w:sz w:val="28"/>
        <w:szCs w:val="28"/>
      </w:rPr>
      <w:t xml:space="preserve">Avv. Daiana Chiappa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EF119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12969"/>
    <w:multiLevelType w:val="hybridMultilevel"/>
    <w:tmpl w:val="02F6CFB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41EA4"/>
    <w:multiLevelType w:val="multilevel"/>
    <w:tmpl w:val="72441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4F68CE"/>
    <w:multiLevelType w:val="multilevel"/>
    <w:tmpl w:val="340A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9E2683"/>
    <w:multiLevelType w:val="multilevel"/>
    <w:tmpl w:val="81A8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CB4346"/>
    <w:multiLevelType w:val="multilevel"/>
    <w:tmpl w:val="3A6820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01650D7"/>
    <w:multiLevelType w:val="multilevel"/>
    <w:tmpl w:val="1BB09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A029F9"/>
    <w:multiLevelType w:val="multilevel"/>
    <w:tmpl w:val="C0E8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4877613"/>
    <w:multiLevelType w:val="hybridMultilevel"/>
    <w:tmpl w:val="D5A6BACA"/>
    <w:lvl w:ilvl="0" w:tplc="9B768124">
      <w:start w:val="1"/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B76E88"/>
    <w:multiLevelType w:val="multilevel"/>
    <w:tmpl w:val="3D0A1F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69D55594"/>
    <w:multiLevelType w:val="multilevel"/>
    <w:tmpl w:val="92E27A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779A2DAF"/>
    <w:multiLevelType w:val="multilevel"/>
    <w:tmpl w:val="779A2DAF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num w:numId="1" w16cid:durableId="1560706554">
    <w:abstractNumId w:val="3"/>
  </w:num>
  <w:num w:numId="2" w16cid:durableId="1862475391">
    <w:abstractNumId w:val="2"/>
  </w:num>
  <w:num w:numId="3" w16cid:durableId="18052485">
    <w:abstractNumId w:val="6"/>
  </w:num>
  <w:num w:numId="4" w16cid:durableId="1229880140">
    <w:abstractNumId w:val="10"/>
  </w:num>
  <w:num w:numId="5" w16cid:durableId="634606687">
    <w:abstractNumId w:val="4"/>
  </w:num>
  <w:num w:numId="6" w16cid:durableId="1023937875">
    <w:abstractNumId w:val="8"/>
  </w:num>
  <w:num w:numId="7" w16cid:durableId="478502705">
    <w:abstractNumId w:val="9"/>
  </w:num>
  <w:num w:numId="8" w16cid:durableId="1026445472">
    <w:abstractNumId w:val="7"/>
  </w:num>
  <w:num w:numId="9" w16cid:durableId="1865165012">
    <w:abstractNumId w:val="0"/>
  </w:num>
  <w:num w:numId="10" w16cid:durableId="1182940854">
    <w:abstractNumId w:val="1"/>
  </w:num>
  <w:num w:numId="11" w16cid:durableId="15707279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90B"/>
    <w:rsid w:val="000060FA"/>
    <w:rsid w:val="00084982"/>
    <w:rsid w:val="00097873"/>
    <w:rsid w:val="001027A9"/>
    <w:rsid w:val="00114ABA"/>
    <w:rsid w:val="00124401"/>
    <w:rsid w:val="00135A59"/>
    <w:rsid w:val="00151342"/>
    <w:rsid w:val="00185B5A"/>
    <w:rsid w:val="002021BC"/>
    <w:rsid w:val="0021690B"/>
    <w:rsid w:val="00260360"/>
    <w:rsid w:val="002C613C"/>
    <w:rsid w:val="002F4322"/>
    <w:rsid w:val="002F51F9"/>
    <w:rsid w:val="003C6886"/>
    <w:rsid w:val="003F0DEB"/>
    <w:rsid w:val="00455DD0"/>
    <w:rsid w:val="00686BAF"/>
    <w:rsid w:val="006D0685"/>
    <w:rsid w:val="006D69A1"/>
    <w:rsid w:val="006F1393"/>
    <w:rsid w:val="00723687"/>
    <w:rsid w:val="00751354"/>
    <w:rsid w:val="00783B80"/>
    <w:rsid w:val="007943B7"/>
    <w:rsid w:val="007B09EC"/>
    <w:rsid w:val="007F1C99"/>
    <w:rsid w:val="00892800"/>
    <w:rsid w:val="008B3E99"/>
    <w:rsid w:val="008D2493"/>
    <w:rsid w:val="008F26BA"/>
    <w:rsid w:val="00904077"/>
    <w:rsid w:val="00926220"/>
    <w:rsid w:val="00957F57"/>
    <w:rsid w:val="0097597E"/>
    <w:rsid w:val="009920D8"/>
    <w:rsid w:val="009F1D6F"/>
    <w:rsid w:val="00AA3B96"/>
    <w:rsid w:val="00AB0057"/>
    <w:rsid w:val="00AC533B"/>
    <w:rsid w:val="00AC569D"/>
    <w:rsid w:val="00B109CE"/>
    <w:rsid w:val="00B42B57"/>
    <w:rsid w:val="00B6367B"/>
    <w:rsid w:val="00BF63AC"/>
    <w:rsid w:val="00C16918"/>
    <w:rsid w:val="00C34BF7"/>
    <w:rsid w:val="00CB0829"/>
    <w:rsid w:val="00CC529B"/>
    <w:rsid w:val="00CD6477"/>
    <w:rsid w:val="00D72034"/>
    <w:rsid w:val="00D9535A"/>
    <w:rsid w:val="00DA347A"/>
    <w:rsid w:val="00DC3006"/>
    <w:rsid w:val="00DC755C"/>
    <w:rsid w:val="00E25242"/>
    <w:rsid w:val="00E740D0"/>
    <w:rsid w:val="00E9394B"/>
    <w:rsid w:val="00F076AE"/>
    <w:rsid w:val="00FA1AD4"/>
    <w:rsid w:val="00FF3B80"/>
    <w:rsid w:val="00FF6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84AAB2"/>
  <w15:docId w15:val="{7436AD32-9521-4358-9C8D-313C07C6A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t-IT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eastAsia="Arial Unicode MS"/>
    </w:rPr>
  </w:style>
  <w:style w:type="paragraph" w:styleId="Titolo1">
    <w:name w:val="heading 1"/>
    <w:basedOn w:val="Normale"/>
    <w:next w:val="Normale"/>
    <w:link w:val="Titolo1Caratter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olo2">
    <w:name w:val="heading 2"/>
    <w:basedOn w:val="Intestazione1"/>
    <w:next w:val="Corpotesto"/>
    <w:link w:val="Titolo2Carattere"/>
    <w:qFormat/>
    <w:pPr>
      <w:numPr>
        <w:ilvl w:val="1"/>
      </w:numPr>
      <w:outlineLvl w:val="1"/>
    </w:pPr>
    <w:rPr>
      <w:b/>
      <w:bCs/>
      <w:i/>
      <w:iCs/>
    </w:rPr>
  </w:style>
  <w:style w:type="paragraph" w:styleId="Titolo3">
    <w:name w:val="heading 3"/>
    <w:basedOn w:val="Normale"/>
    <w:next w:val="Normale"/>
    <w:link w:val="Titolo3Caratter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olo4">
    <w:name w:val="heading 4"/>
    <w:basedOn w:val="Normale"/>
    <w:next w:val="Normale"/>
    <w:link w:val="Titolo4Carattere"/>
    <w:qFormat/>
    <w:pPr>
      <w:keepNext/>
      <w:numPr>
        <w:ilvl w:val="3"/>
      </w:numPr>
      <w:tabs>
        <w:tab w:val="left" w:pos="851"/>
        <w:tab w:val="left" w:pos="10490"/>
      </w:tabs>
      <w:spacing w:line="360" w:lineRule="auto"/>
      <w:jc w:val="both"/>
      <w:outlineLvl w:val="3"/>
    </w:pPr>
    <w:rPr>
      <w:b/>
      <w:bCs/>
    </w:rPr>
  </w:style>
  <w:style w:type="paragraph" w:styleId="Titolo5">
    <w:name w:val="heading 5"/>
    <w:basedOn w:val="Normale"/>
    <w:next w:val="Normale"/>
    <w:link w:val="Titolo5Carattere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olo6">
    <w:name w:val="heading 6"/>
    <w:basedOn w:val="Normale"/>
    <w:next w:val="Normale"/>
    <w:link w:val="Titolo6Carattere"/>
    <w:qFormat/>
    <w:pPr>
      <w:keepNext/>
      <w:numPr>
        <w:ilvl w:val="5"/>
      </w:numPr>
      <w:tabs>
        <w:tab w:val="left" w:pos="851"/>
        <w:tab w:val="left" w:pos="4678"/>
      </w:tabs>
      <w:outlineLvl w:val="5"/>
    </w:pPr>
  </w:style>
  <w:style w:type="paragraph" w:styleId="Titolo7">
    <w:name w:val="heading 7"/>
    <w:basedOn w:val="Normale"/>
    <w:next w:val="Normale"/>
    <w:link w:val="Titolo7Carattere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qFormat/>
    <w:pPr>
      <w:keepNext/>
      <w:numPr>
        <w:ilvl w:val="7"/>
      </w:numPr>
      <w:tabs>
        <w:tab w:val="left" w:pos="851"/>
        <w:tab w:val="left" w:pos="3119"/>
      </w:tabs>
      <w:jc w:val="center"/>
      <w:outlineLvl w:val="7"/>
    </w:pPr>
    <w:rPr>
      <w:rFonts w:ascii="Copperplate Gothic Light" w:hAnsi="Copperplate Gothic Light"/>
      <w:b/>
      <w:color w:val="000000"/>
      <w:sz w:val="28"/>
    </w:rPr>
  </w:style>
  <w:style w:type="paragraph" w:styleId="Titolo9">
    <w:name w:val="heading 9"/>
    <w:basedOn w:val="Normale"/>
    <w:next w:val="Normale"/>
    <w:link w:val="Titolo9Carattere"/>
    <w:qFormat/>
    <w:pPr>
      <w:keepNext/>
      <w:numPr>
        <w:ilvl w:val="8"/>
      </w:numPr>
      <w:jc w:val="center"/>
      <w:outlineLvl w:val="8"/>
    </w:pPr>
    <w:rPr>
      <w:i/>
      <w:i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Heading1Char">
    <w:name w:val="Heading 1 Char"/>
    <w:basedOn w:val="Carpredefinitoparagrafo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Carpredefinitoparagrafo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Carpredefinitoparagrafo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Carpredefinitoparagrafo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Carpredefinitoparagrafo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Carpredefinitoparagrafo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Carpredefinitoparagrafo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Carpredefinitoparagraf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Carpredefinitoparagraf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Carpredefinitoparagraf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Carpredefinitoparagrafo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Carpredefinitoparagrafo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Carpredefinitoparagrafo"/>
    <w:uiPriority w:val="30"/>
    <w:rPr>
      <w:i/>
      <w:iCs/>
      <w:color w:val="365F91" w:themeColor="accent1" w:themeShade="BF"/>
    </w:rPr>
  </w:style>
  <w:style w:type="character" w:customStyle="1" w:styleId="FooterChar">
    <w:name w:val="Footer Char"/>
    <w:basedOn w:val="Carpredefinitoparagrafo"/>
    <w:uiPriority w:val="99"/>
  </w:style>
  <w:style w:type="character" w:customStyle="1" w:styleId="FootnoteTextChar">
    <w:name w:val="Footnote Text Char"/>
    <w:basedOn w:val="Carpredefinitoparagrafo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Carpredefinitoparagrafo"/>
    <w:uiPriority w:val="99"/>
    <w:semiHidden/>
    <w:rPr>
      <w:sz w:val="20"/>
      <w:szCs w:val="20"/>
    </w:rPr>
  </w:style>
  <w:style w:type="character" w:styleId="Testosegnaposto">
    <w:name w:val="Placeholder Text"/>
    <w:basedOn w:val="Carpredefinitoparagrafo"/>
    <w:uiPriority w:val="99"/>
    <w:semiHidden/>
    <w:rPr>
      <w:color w:val="666666"/>
    </w:rPr>
  </w:style>
  <w:style w:type="table" w:styleId="Grigliatabella">
    <w:name w:val="Table Grid"/>
    <w:basedOn w:val="Tabellanormal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lasemplice-1">
    <w:name w:val="Plain Table 1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lasemplice-2">
    <w:name w:val="Plain Table 2"/>
    <w:basedOn w:val="Tabellanormale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lasemplice-3">
    <w:name w:val="Plain Table 3"/>
    <w:basedOn w:val="Tabellanormale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semplice4">
    <w:name w:val="Plain Table 4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semplice5">
    <w:name w:val="Plain Table 5"/>
    <w:basedOn w:val="Tabellanormale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griglia1chiara">
    <w:name w:val="Grid Table 1 Light"/>
    <w:basedOn w:val="Tabellanormale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lanormale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lanormale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lanormale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lanormale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lanormale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lanormale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lagriglia2">
    <w:name w:val="Grid Table 2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lanormale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ellanormale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ellanormale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gliatab3">
    <w:name w:val="Grid Table 3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lanormale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ellanormale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ellanormale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gliatab4">
    <w:name w:val="Grid Table 4"/>
    <w:basedOn w:val="Tabellanormale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lanormale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ellanormale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ellanormale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ellanormale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ellanormale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ellanormale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lagriglia5scura">
    <w:name w:val="Grid Table 5 Dark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lagriglia6acolori">
    <w:name w:val="Grid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lagriglia7acolori">
    <w:name w:val="Grid Table 7 Colorful"/>
    <w:basedOn w:val="Tabellanormale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lanormale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lanormale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lanormale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laelenco1chiara">
    <w:name w:val="List Table 1 Light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laelenco2">
    <w:name w:val="List Table 2"/>
    <w:basedOn w:val="Tabellanormale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lanormale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ellanormale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ellanormale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ellanormale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ellanormale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ellanormale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Elencotab3">
    <w:name w:val="List Table 3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lanormale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lanormale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lanormale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lanormale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Elencotab4">
    <w:name w:val="List Table 4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lanormale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ellanormale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ellanormale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ellanormale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ellanormale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ellanormale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laelenco5scura">
    <w:name w:val="List Table 5 Dark"/>
    <w:basedOn w:val="Tabellanormale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lanormale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lanormale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ellanormale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ellanormale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ellanormale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ellanormale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laelenco6acolori">
    <w:name w:val="List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laelenco7acolori">
    <w:name w:val="List Table 7 Colorful"/>
    <w:basedOn w:val="Tabellanormale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lanormale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lanormale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lanormale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lanormale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lanormale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lanormale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lanormale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lanormale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lanormale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lanormale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lanormale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lanormale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lanormale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oloCarattere">
    <w:name w:val="Titolo Carattere"/>
    <w:basedOn w:val="Carpredefinitoparagrafo"/>
    <w:link w:val="Tito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ottotitoloCarattere">
    <w:name w:val="Sottotitolo Carattere"/>
    <w:basedOn w:val="Carpredefinitoparagrafo"/>
    <w:link w:val="Sottotitolo"/>
    <w:uiPriority w:val="11"/>
    <w:rPr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Pr>
      <w:i/>
      <w:iCs/>
      <w:color w:val="404040" w:themeColor="text1" w:themeTint="BF"/>
    </w:rPr>
  </w:style>
  <w:style w:type="character" w:styleId="Enfasiintensa">
    <w:name w:val="Intense Emphasis"/>
    <w:basedOn w:val="Carpredefinitoparagrafo"/>
    <w:uiPriority w:val="21"/>
    <w:qFormat/>
    <w:rPr>
      <w:i/>
      <w:iCs/>
      <w:color w:val="365F9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Pr>
      <w:i/>
      <w:iCs/>
      <w:color w:val="365F91" w:themeColor="accent1" w:themeShade="BF"/>
    </w:rPr>
  </w:style>
  <w:style w:type="character" w:styleId="Riferimentointenso">
    <w:name w:val="Intense Reference"/>
    <w:basedOn w:val="Carpredefinitoparagrafo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essunaspaziatura">
    <w:name w:val="No Spacing"/>
    <w:basedOn w:val="Normale"/>
    <w:uiPriority w:val="1"/>
    <w:qFormat/>
  </w:style>
  <w:style w:type="character" w:styleId="Enfasidelicata">
    <w:name w:val="Subtle Emphasis"/>
    <w:basedOn w:val="Carpredefinitoparagrafo"/>
    <w:uiPriority w:val="19"/>
    <w:qFormat/>
    <w:rPr>
      <w:i/>
      <w:iCs/>
      <w:color w:val="404040" w:themeColor="text1" w:themeTint="BF"/>
    </w:rPr>
  </w:style>
  <w:style w:type="character" w:styleId="Enfasicorsivo">
    <w:name w:val="Emphasis"/>
    <w:basedOn w:val="Carpredefinitoparagrafo"/>
    <w:uiPriority w:val="20"/>
    <w:qFormat/>
    <w:rPr>
      <w:i/>
      <w:iCs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  <w:style w:type="character" w:styleId="Riferimentodelicato">
    <w:name w:val="Subtle Reference"/>
    <w:basedOn w:val="Carpredefinitoparagrafo"/>
    <w:uiPriority w:val="31"/>
    <w:qFormat/>
    <w:rPr>
      <w:smallCaps/>
      <w:color w:val="5A5A5A" w:themeColor="text1" w:themeTint="A5"/>
    </w:rPr>
  </w:style>
  <w:style w:type="character" w:styleId="Titolodellibro">
    <w:name w:val="Book Title"/>
    <w:basedOn w:val="Carpredefinitoparagraf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Carpredefinitoparagrafo"/>
    <w:uiPriority w:val="99"/>
  </w:style>
  <w:style w:type="character" w:customStyle="1" w:styleId="PidipaginaCarattere">
    <w:name w:val="Piè di pagina Carattere"/>
    <w:basedOn w:val="Carpredefinitoparagrafo"/>
    <w:link w:val="Pidipagina"/>
    <w:uiPriority w:val="99"/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Pr>
      <w:sz w:val="20"/>
      <w:szCs w:val="20"/>
    </w:rPr>
  </w:style>
  <w:style w:type="character" w:styleId="Rimandonotadichiusura">
    <w:name w:val="endnote reference"/>
    <w:basedOn w:val="Carpredefinitoparagrafo"/>
    <w:uiPriority w:val="99"/>
    <w:semiHidden/>
    <w:unhideWhenUsed/>
    <w:rPr>
      <w:vertAlign w:val="superscript"/>
    </w:rPr>
  </w:style>
  <w:style w:type="paragraph" w:styleId="Sommario1">
    <w:name w:val="toc 1"/>
    <w:basedOn w:val="Normale"/>
    <w:next w:val="Normale"/>
    <w:uiPriority w:val="39"/>
    <w:unhideWhenUsed/>
    <w:pPr>
      <w:spacing w:after="100"/>
    </w:pPr>
  </w:style>
  <w:style w:type="paragraph" w:styleId="Sommario2">
    <w:name w:val="toc 2"/>
    <w:basedOn w:val="Normale"/>
    <w:next w:val="Normale"/>
    <w:uiPriority w:val="39"/>
    <w:unhideWhenUsed/>
    <w:pPr>
      <w:spacing w:after="100"/>
      <w:ind w:left="220"/>
    </w:pPr>
  </w:style>
  <w:style w:type="paragraph" w:styleId="Sommario3">
    <w:name w:val="toc 3"/>
    <w:basedOn w:val="Normale"/>
    <w:next w:val="Normale"/>
    <w:uiPriority w:val="39"/>
    <w:unhideWhenUsed/>
    <w:pPr>
      <w:spacing w:after="100"/>
      <w:ind w:left="440"/>
    </w:pPr>
  </w:style>
  <w:style w:type="paragraph" w:styleId="Sommario4">
    <w:name w:val="toc 4"/>
    <w:basedOn w:val="Normale"/>
    <w:next w:val="Normale"/>
    <w:uiPriority w:val="39"/>
    <w:unhideWhenUsed/>
    <w:pPr>
      <w:spacing w:after="100"/>
      <w:ind w:left="660"/>
    </w:pPr>
  </w:style>
  <w:style w:type="paragraph" w:styleId="Sommario5">
    <w:name w:val="toc 5"/>
    <w:basedOn w:val="Normale"/>
    <w:next w:val="Normale"/>
    <w:uiPriority w:val="39"/>
    <w:unhideWhenUsed/>
    <w:pPr>
      <w:spacing w:after="100"/>
      <w:ind w:left="880"/>
    </w:pPr>
  </w:style>
  <w:style w:type="paragraph" w:styleId="Sommario6">
    <w:name w:val="toc 6"/>
    <w:basedOn w:val="Normale"/>
    <w:next w:val="Normale"/>
    <w:uiPriority w:val="39"/>
    <w:unhideWhenUsed/>
    <w:pPr>
      <w:spacing w:after="100"/>
      <w:ind w:left="1100"/>
    </w:pPr>
  </w:style>
  <w:style w:type="paragraph" w:styleId="Sommario7">
    <w:name w:val="toc 7"/>
    <w:basedOn w:val="Normale"/>
    <w:next w:val="Normale"/>
    <w:uiPriority w:val="39"/>
    <w:unhideWhenUsed/>
    <w:pPr>
      <w:spacing w:after="100"/>
      <w:ind w:left="1320"/>
    </w:pPr>
  </w:style>
  <w:style w:type="paragraph" w:styleId="Sommario8">
    <w:name w:val="toc 8"/>
    <w:basedOn w:val="Normale"/>
    <w:next w:val="Normale"/>
    <w:uiPriority w:val="39"/>
    <w:unhideWhenUsed/>
    <w:pPr>
      <w:spacing w:after="100"/>
      <w:ind w:left="1540"/>
    </w:pPr>
  </w:style>
  <w:style w:type="paragraph" w:styleId="Sommario9">
    <w:name w:val="toc 9"/>
    <w:basedOn w:val="Normale"/>
    <w:next w:val="Normale"/>
    <w:uiPriority w:val="39"/>
    <w:unhideWhenUsed/>
    <w:pPr>
      <w:spacing w:after="100"/>
      <w:ind w:left="1760"/>
    </w:pPr>
  </w:style>
  <w:style w:type="paragraph" w:styleId="Titolosommario">
    <w:name w:val="TOC Heading"/>
    <w:uiPriority w:val="39"/>
    <w:unhideWhenUsed/>
  </w:style>
  <w:style w:type="paragraph" w:styleId="Indicedellefigure">
    <w:name w:val="table of figures"/>
    <w:basedOn w:val="Normale"/>
    <w:next w:val="Normale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link w:val="TitoloCarattere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styleId="Collegamentoipertestuale">
    <w:name w:val="Hyperlink"/>
    <w:rPr>
      <w:color w:val="000080"/>
      <w:u w:val="single"/>
    </w:rPr>
  </w:style>
  <w:style w:type="character" w:customStyle="1" w:styleId="Punti">
    <w:name w:val="Punti"/>
    <w:rPr>
      <w:rFonts w:ascii="OpenSymbol" w:eastAsia="OpenSymbol" w:hAnsi="OpenSymbol" w:cs="OpenSymbol"/>
    </w:rPr>
  </w:style>
  <w:style w:type="paragraph" w:customStyle="1" w:styleId="Heading">
    <w:name w:val="Heading"/>
    <w:basedOn w:val="Normale"/>
    <w:next w:val="Corpotesto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styleId="Intestazione">
    <w:name w:val="header"/>
    <w:basedOn w:val="Normale"/>
    <w:link w:val="IntestazioneCarattere"/>
    <w:uiPriority w:val="99"/>
    <w:pPr>
      <w:suppressLineNumbers/>
      <w:tabs>
        <w:tab w:val="center" w:pos="4818"/>
        <w:tab w:val="right" w:pos="9637"/>
      </w:tabs>
    </w:pPr>
  </w:style>
  <w:style w:type="paragraph" w:styleId="Pidipagina">
    <w:name w:val="footer"/>
    <w:basedOn w:val="Normale"/>
    <w:link w:val="PidipaginaCarattere"/>
    <w:pPr>
      <w:suppressLineNumbers/>
      <w:tabs>
        <w:tab w:val="center" w:pos="4818"/>
        <w:tab w:val="right" w:pos="9637"/>
      </w:tabs>
    </w:pPr>
  </w:style>
  <w:style w:type="paragraph" w:styleId="NormaleWeb">
    <w:name w:val="Normal (Web)"/>
    <w:basedOn w:val="Normale"/>
    <w:pPr>
      <w:widowControl/>
      <w:spacing w:before="100" w:beforeAutospacing="1" w:after="119"/>
    </w:pPr>
    <w:rPr>
      <w:rFonts w:eastAsia="Times New Roman"/>
    </w:rPr>
  </w:style>
  <w:style w:type="paragraph" w:styleId="Testofumetto">
    <w:name w:val="Balloon Text"/>
    <w:basedOn w:val="Normale"/>
    <w:link w:val="TestofumettoCarattere"/>
    <w:semiHidden/>
    <w:unhideWhenUsed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semiHidden/>
    <w:rPr>
      <w:rFonts w:ascii="Tahoma" w:eastAsia="Arial Unicode MS" w:hAnsi="Tahoma" w:cs="Tahoma"/>
      <w:sz w:val="16"/>
      <w:szCs w:val="16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Pr>
      <w:rFonts w:eastAsia="Arial Unicode MS"/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Pr>
      <w:color w:val="808080"/>
      <w:shd w:val="clear" w:color="auto" w:fill="E6E6E6"/>
    </w:rPr>
  </w:style>
  <w:style w:type="character" w:styleId="Collegamentovisitato">
    <w:name w:val="FollowedHyperlink"/>
    <w:basedOn w:val="Carpredefinitoparagrafo"/>
    <w:semiHidden/>
    <w:unhideWhenUsed/>
    <w:rPr>
      <w:color w:val="800080" w:themeColor="followedHyperlink"/>
      <w:u w:val="single"/>
    </w:rPr>
  </w:style>
  <w:style w:type="paragraph" w:styleId="Paragrafoelenco">
    <w:name w:val="List Paragraph"/>
    <w:basedOn w:val="Normale"/>
    <w:uiPriority w:val="34"/>
    <w:qFormat/>
    <w:pPr>
      <w:ind w:left="720"/>
      <w:contextualSpacing/>
    </w:pPr>
  </w:style>
  <w:style w:type="paragraph" w:styleId="Sottotitolo">
    <w:name w:val="Subtitle"/>
    <w:basedOn w:val="Normale"/>
    <w:next w:val="Normale"/>
    <w:link w:val="SottotitoloCaratter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Rimandocommento">
    <w:name w:val="annotation reference"/>
    <w:basedOn w:val="Carpredefinitoparagrafo"/>
    <w:semiHidden/>
    <w:unhideWhenUsed/>
    <w:rsid w:val="00B42B57"/>
    <w:rPr>
      <w:sz w:val="16"/>
      <w:szCs w:val="16"/>
    </w:rPr>
  </w:style>
  <w:style w:type="paragraph" w:styleId="Testocommento">
    <w:name w:val="annotation text"/>
    <w:basedOn w:val="Normale"/>
    <w:link w:val="TestocommentoCarattere"/>
    <w:unhideWhenUsed/>
    <w:rsid w:val="00B42B57"/>
    <w:pPr>
      <w:jc w:val="both"/>
    </w:pPr>
    <w:rPr>
      <w:rFonts w:ascii="Courier New" w:eastAsia="Times New Roman" w:hAnsi="Courier New"/>
      <w:position w:val="6"/>
      <w:sz w:val="20"/>
      <w:szCs w:val="20"/>
      <w:lang w:eastAsia="it-IT"/>
    </w:rPr>
  </w:style>
  <w:style w:type="character" w:customStyle="1" w:styleId="TestocommentoCarattere">
    <w:name w:val="Testo commento Carattere"/>
    <w:basedOn w:val="Carpredefinitoparagrafo"/>
    <w:link w:val="Testocommento"/>
    <w:rsid w:val="00B42B57"/>
    <w:rPr>
      <w:rFonts w:ascii="Courier New" w:hAnsi="Courier New"/>
      <w:position w:val="6"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hyperlink" Target="mailto:bergamo.legal@ultracert.it" TargetMode="External"/><Relationship Id="rId1" Type="http://schemas.openxmlformats.org/officeDocument/2006/relationships/hyperlink" Target="mailto:info@bergamo.legal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mIc480S39jm1oiCm+DYjTPapWQ==">CgMxLjAyCGguZ2pkZ3hzMgloLjMwajB6bGw4AHIhMUV2VFdmV1VLUlZFWmx3YW1uTHVvS1g0NDNtSHlmOEhf</go:docsCustomData>
</go:gDocsCustomXmlDataStorage>
</file>

<file path=customXml/itemProps1.xml><?xml version="1.0" encoding="utf-8"?>
<ds:datastoreItem xmlns:ds="http://schemas.openxmlformats.org/officeDocument/2006/customXml" ds:itemID="{F5A2A1F2-9E8F-4439-862B-4780A4AC9A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matteo</dc:creator>
  <cp:lastModifiedBy>marco dolazza</cp:lastModifiedBy>
  <cp:revision>5</cp:revision>
  <dcterms:created xsi:type="dcterms:W3CDTF">2026-05-05T15:13:00Z</dcterms:created>
  <dcterms:modified xsi:type="dcterms:W3CDTF">2026-05-11T12:48:00Z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0x010100995E16C2FC49DE46A5FEE583E28296E3</vt:lpwstr>
  </property>
</Properties>
</file>