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jc w:val="center"/>
      </w:pPr>
      <w:r>
        <w:rPr>
          <w:rFonts w:ascii="Times New Roman" w:hAnsi="Times New Roman"/>
          <w:b/>
          <w:i w:val="0"/>
          <w:sz w:val="32"/>
        </w:rPr>
        <w:t>Giudice di Pace di Brescia</w:t>
      </w:r>
    </w:p>
    <w:p>
      <w:pPr>
        <w:keepNext/>
        <w:spacing w:before="40" w:after="80"/>
        <w:jc w:val="center"/>
      </w:pPr>
      <w:r>
        <w:rPr>
          <w:rFonts w:ascii="Times New Roman" w:hAnsi="Times New Roman"/>
          <w:b/>
          <w:i w:val="0"/>
          <w:sz w:val="32"/>
        </w:rPr>
        <w:t>Ricorso in opposizione a decreto di revoca della patente di guida della Prefettura di Brescia</w:t>
      </w:r>
    </w:p>
    <w:p>
      <w:pPr>
        <w:keepNext/>
        <w:spacing w:before="40" w:after="80"/>
        <w:jc w:val="center"/>
      </w:pPr>
      <w:r>
        <w:rPr>
          <w:rFonts w:ascii="Times New Roman" w:hAnsi="Times New Roman"/>
          <w:b/>
          <w:i w:val="0"/>
          <w:sz w:val="32"/>
        </w:rPr>
        <w:t>e istanza di sospensione cautelare dello stesso</w:t>
      </w:r>
    </w:p>
    <w:p>
      <w:pPr>
        <w:keepNext/>
        <w:spacing w:before="200" w:after="80"/>
        <w:jc w:val="left"/>
      </w:pPr>
      <w:r>
        <w:rPr>
          <w:rFonts w:ascii="Times New Roman" w:hAnsi="Times New Roman"/>
          <w:b/>
          <w:i w:val="0"/>
          <w:sz w:val="28"/>
        </w:rPr>
        <w:t>Parte ricorrente:</w:t>
      </w:r>
    </w:p>
    <w:p>
      <w:pPr>
        <w:spacing w:before="0" w:after="120"/>
        <w:jc w:val="both"/>
      </w:pPr>
      <w:r>
        <w:rPr>
          <w:rFonts w:ascii="Times New Roman" w:hAnsi="Times New Roman"/>
          <w:b w:val="0"/>
          <w:i w:val="0"/>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00" w:after="80"/>
        <w:jc w:val="left"/>
      </w:pPr>
      <w:r>
        <w:rPr>
          <w:rFonts w:ascii="Times New Roman" w:hAnsi="Times New Roman"/>
          <w:b/>
          <w:i w:val="0"/>
          <w:sz w:val="28"/>
        </w:rPr>
        <w:t>Parti Intimate:</w:t>
      </w:r>
    </w:p>
    <w:p>
      <w:pPr>
        <w:spacing w:before="0" w:after="60"/>
        <w:ind w:left="283"/>
        <w:jc w:val="both"/>
      </w:pPr>
      <w:r>
        <w:rPr>
          <w:rFonts w:ascii="Times New Roman" w:hAnsi="Times New Roman"/>
          <w:b w:val="0"/>
          <w:i w:val="0"/>
          <w:sz w:val="24"/>
        </w:rPr>
        <w:t>Prefettura di Brescia - Ufficio Territoriale del Governo, c.f. 80007700009, in persona del Prefetto pro tempore, con sede in Brescia, Via Zima n. 3 (PEC: depenalizzazione.prefbs@pec.interno.it);</w:t>
      </w:r>
    </w:p>
    <w:p>
      <w:pPr>
        <w:spacing w:before="0" w:after="60"/>
        <w:ind w:left="283"/>
        <w:jc w:val="both"/>
      </w:pPr>
      <w:r>
        <w:rPr>
          <w:rFonts w:ascii="Times New Roman" w:hAnsi="Times New Roman"/>
          <w:b w:val="0"/>
          <w:i w:val="0"/>
          <w:sz w:val="24"/>
        </w:rPr>
        <w:t>Comune di Rovato - Polizia Locale, in persona del Comandante pro tempore, con sede in Rovato (25038 BS), Piazza Garibaldi n. 1 (PEC: polizialocalerovato@legalmail.it).</w:t>
      </w:r>
    </w:p>
    <w:p>
      <w:pPr>
        <w:keepNext/>
        <w:spacing w:before="200" w:after="80"/>
        <w:jc w:val="left"/>
      </w:pPr>
      <w:r>
        <w:rPr>
          <w:rFonts w:ascii="Times New Roman" w:hAnsi="Times New Roman"/>
          <w:b/>
          <w:i w:val="0"/>
          <w:sz w:val="28"/>
        </w:rPr>
        <w:t>Provvedimento impugnato:</w:t>
      </w:r>
    </w:p>
    <w:p>
      <w:pPr>
        <w:spacing w:before="0" w:after="120"/>
        <w:jc w:val="both"/>
      </w:pPr>
      <w:r>
        <w:rPr>
          <w:rFonts w:ascii="Times New Roman" w:hAnsi="Times New Roman"/>
          <w:b w:val="0"/>
          <w:i w:val="0"/>
          <w:sz w:val="24"/>
        </w:rPr>
        <w:t>Decreto della Prefettura di Brescia del 02 marzo 2026, n. identificativo 2400058609, prot. MIT-PRBSSPC-00025143, notificato in data 29 aprile 2026.</w:t>
      </w:r>
    </w:p>
    <w:p>
      <w:pPr>
        <w:keepNext/>
        <w:spacing w:before="200" w:after="40"/>
        <w:jc w:val="left"/>
      </w:pPr>
      <w:r>
        <w:rPr>
          <w:rFonts w:ascii="Times New Roman" w:hAnsi="Times New Roman"/>
          <w:b/>
          <w:i w:val="0"/>
          <w:sz w:val="28"/>
        </w:rPr>
        <w:t>Oggetto del giudizio e sintesi dei motivi:</w:t>
      </w:r>
    </w:p>
    <w:p>
      <w:pPr>
        <w:spacing w:before="0" w:after="160"/>
        <w:jc w:val="both"/>
      </w:pPr>
      <w:r>
        <w:rPr>
          <w:rFonts w:ascii="Times New Roman" w:hAnsi="Times New Roman"/>
          <w:b/>
          <w:i w:val="0"/>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spacing w:before="240" w:after="160"/>
        <w:jc w:val="center"/>
      </w:pPr>
      <w:r>
        <w:rPr>
          <w:rFonts w:ascii="Times New Roman" w:hAnsi="Times New Roman"/>
          <w:b/>
          <w:i w:val="0"/>
          <w:sz w:val="32"/>
        </w:rPr>
        <w:t>Premesso che:</w:t>
      </w:r>
    </w:p>
    <w:p>
      <w:pPr>
        <w:keepNext/>
        <w:spacing w:before="240" w:after="160"/>
        <w:jc w:val="center"/>
      </w:pPr>
      <w:r>
        <w:rPr>
          <w:rFonts w:ascii="Times New Roman" w:hAnsi="Times New Roman"/>
          <w:b/>
          <w:i w:val="0"/>
          <w:sz w:val="32"/>
        </w:rPr>
        <w:t>In fatto:</w:t>
      </w:r>
    </w:p>
    <w:p>
      <w:pPr>
        <w:spacing w:before="0" w:after="120"/>
        <w:jc w:val="both"/>
      </w:pPr>
      <w:r>
        <w:rPr>
          <w:rFonts w:ascii="Times New Roman" w:hAnsi="Times New Roman"/>
          <w:b w:val="0"/>
          <w:i w:val="0"/>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jc w:val="both"/>
      </w:pPr>
      <w:r>
        <w:rPr>
          <w:rFonts w:ascii="Times New Roman" w:hAnsi="Times New Roman"/>
          <w:b w:val="0"/>
          <w:i w:val="0"/>
          <w:sz w:val="24"/>
        </w:rPr>
        <w:t>In pari data venivano altresì redatti i verbali n. 50808T e n. 50809T per le violazioni ex art. 180 c. 7 C.d.S., con invito a presentare entro cinque giorni i documenti mancanti.</w:t>
      </w:r>
    </w:p>
    <w:p>
      <w:pPr>
        <w:spacing w:before="0" w:after="120"/>
        <w:jc w:val="both"/>
      </w:pPr>
      <w:r>
        <w:rPr>
          <w:rFonts w:ascii="Times New Roman" w:hAnsi="Times New Roman"/>
          <w:b w:val="0"/>
          <w:i w:val="0"/>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jc w:val="both"/>
      </w:pPr>
      <w:r>
        <w:rPr>
          <w:rFonts w:ascii="Times New Roman" w:hAnsi="Times New Roman"/>
          <w:b w:val="0"/>
          <w:i w:val="0"/>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jc w:val="both"/>
      </w:pPr>
      <w:r>
        <w:rPr>
          <w:rFonts w:ascii="Times New Roman" w:hAnsi="Times New Roman"/>
          <w:b w:val="0"/>
          <w:i w:val="0"/>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jc w:val="both"/>
      </w:pPr>
      <w:r>
        <w:rPr>
          <w:rFonts w:ascii="Times New Roman" w:hAnsi="Times New Roman"/>
          <w:b w:val="0"/>
          <w:i w:val="0"/>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jc w:val="both"/>
      </w:pPr>
      <w:r>
        <w:rPr>
          <w:rFonts w:ascii="Times New Roman" w:hAnsi="Times New Roman"/>
          <w:b w:val="0"/>
          <w:i w:val="0"/>
          <w:sz w:val="24"/>
        </w:rPr>
        <w:t>In data 29/04/2026, il decreto veniva notificato a Campos Omar da parte della Polizia Locale di Treviglio (Ag. Bottarelli Marisa Giada), con consegna nelle mani dello stesso presso il Comando P.L. di Treviglio.</w:t>
      </w:r>
    </w:p>
    <w:p>
      <w:pPr>
        <w:keepNext/>
        <w:spacing w:before="240" w:after="160"/>
        <w:jc w:val="center"/>
      </w:pPr>
      <w:r>
        <w:rPr>
          <w:rFonts w:ascii="Times New Roman" w:hAnsi="Times New Roman"/>
          <w:b/>
          <w:i w:val="0"/>
          <w:sz w:val="32"/>
        </w:rPr>
        <w:t>In diritto:</w:t>
      </w:r>
    </w:p>
    <w:p>
      <w:pPr>
        <w:spacing w:before="0" w:after="120"/>
        <w:jc w:val="both"/>
      </w:pPr>
      <w:r>
        <w:rPr>
          <w:rFonts w:ascii="Times New Roman" w:hAnsi="Times New Roman"/>
          <w:b w:val="0"/>
          <w:i w:val="0"/>
          <w:sz w:val="24"/>
        </w:rPr>
        <w:t>Il decreto impugnato è illegittimo per i seguenti motivi.</w:t>
      </w:r>
    </w:p>
    <w:p>
      <w:pPr>
        <w:keepNext/>
        <w:spacing w:before="200" w:after="80"/>
        <w:jc w:val="left"/>
      </w:pPr>
      <w:r>
        <w:rPr>
          <w:rFonts w:ascii="Times New Roman" w:hAnsi="Times New Roman"/>
          <w:b/>
          <w:i w:val="0"/>
          <w:sz w:val="28"/>
        </w:rPr>
        <w:t>I - Violazione della sentenza Corte Costituzionale n. 246/2022: difetto di motivazione individualizzata e mancato esercizio della discrezionalità</w:t>
      </w:r>
    </w:p>
    <w:p>
      <w:pPr>
        <w:spacing w:before="0" w:after="120"/>
        <w:jc w:val="both"/>
      </w:pPr>
      <w:r>
        <w:rPr>
          <w:rFonts w:ascii="Times New Roman" w:hAnsi="Times New Roman"/>
          <w:b w:val="0"/>
          <w:i w:val="0"/>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jc w:val="both"/>
      </w:pPr>
      <w:r>
        <w:rPr>
          <w:rFonts w:ascii="Times New Roman" w:hAnsi="Times New Roman"/>
          <w:b w:val="0"/>
          <w:i w:val="0"/>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jc w:val="both"/>
      </w:pPr>
      <w:r>
        <w:rPr>
          <w:rFonts w:ascii="Times New Roman" w:hAnsi="Times New Roman"/>
          <w:b w:val="0"/>
          <w:i w:val="0"/>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jc w:val="both"/>
      </w:pPr>
      <w:r>
        <w:rPr>
          <w:rFonts w:ascii="Times New Roman" w:hAnsi="Times New Roman"/>
          <w:b w:val="0"/>
          <w:i w:val="0"/>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00" w:after="80"/>
        <w:jc w:val="left"/>
      </w:pPr>
      <w:r>
        <w:rPr>
          <w:rFonts w:ascii="Times New Roman" w:hAnsi="Times New Roman"/>
          <w:b/>
          <w:i w:val="0"/>
          <w:sz w:val="28"/>
        </w:rPr>
        <w:t>II - Errore sul fatto presupposto: il veicolo era in sosta e il custode era assente</w:t>
      </w:r>
    </w:p>
    <w:p>
      <w:pPr>
        <w:spacing w:before="0" w:after="120"/>
        <w:jc w:val="both"/>
      </w:pPr>
      <w:r>
        <w:rPr>
          <w:rFonts w:ascii="Times New Roman" w:hAnsi="Times New Roman"/>
          <w:b w:val="0"/>
          <w:i w:val="0"/>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jc w:val="both"/>
      </w:pPr>
      <w:r>
        <w:rPr>
          <w:rFonts w:ascii="Times New Roman" w:hAnsi="Times New Roman"/>
          <w:b w:val="0"/>
          <w:i w:val="0"/>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jc w:val="both"/>
      </w:pPr>
      <w:r>
        <w:rPr>
          <w:rFonts w:ascii="Times New Roman" w:hAnsi="Times New Roman"/>
          <w:b w:val="0"/>
          <w:i w:val="0"/>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00" w:after="80"/>
        <w:jc w:val="left"/>
      </w:pPr>
      <w:r>
        <w:rPr>
          <w:rFonts w:ascii="Times New Roman" w:hAnsi="Times New Roman"/>
          <w:b/>
          <w:i w:val="0"/>
          <w:sz w:val="28"/>
        </w:rPr>
        <w:t>III - Sproporzione della sanzione: le violazioni accessorie sono di natura documentale e burocratica</w:t>
      </w:r>
    </w:p>
    <w:p>
      <w:pPr>
        <w:spacing w:before="0" w:after="120"/>
        <w:jc w:val="both"/>
      </w:pPr>
      <w:r>
        <w:rPr>
          <w:rFonts w:ascii="Times New Roman" w:hAnsi="Times New Roman"/>
          <w:b w:val="0"/>
          <w:i w:val="0"/>
          <w:sz w:val="24"/>
        </w:rPr>
        <w:t>Il decreto indica ulteriori cinque condotte a supporto del giudizio di pericolosità di Campos:</w:t>
      </w:r>
    </w:p>
    <w:p>
      <w:pPr>
        <w:spacing w:before="0" w:after="60"/>
        <w:ind w:left="283"/>
        <w:jc w:val="both"/>
      </w:pPr>
      <w:r>
        <w:rPr>
          <w:rFonts w:ascii="Times New Roman" w:hAnsi="Times New Roman"/>
          <w:b w:val="0"/>
          <w:i w:val="0"/>
          <w:sz w:val="24"/>
        </w:rPr>
        <w:t>Art. 193 c. 2 C.d.S. - circolazione senza copertura assicurativa (verbale n. 49019F24 del 20/05/2024);</w:t>
      </w:r>
    </w:p>
    <w:p>
      <w:pPr>
        <w:spacing w:before="0" w:after="60"/>
        <w:ind w:left="283"/>
        <w:jc w:val="both"/>
      </w:pPr>
      <w:r>
        <w:rPr>
          <w:rFonts w:ascii="Times New Roman" w:hAnsi="Times New Roman"/>
          <w:b w:val="0"/>
          <w:i w:val="0"/>
          <w:sz w:val="24"/>
        </w:rPr>
        <w:t>Art. 180 c. 7 C.d.S. - circolazione senza avere la patente al seguito (verbale n. 50808T del 20/05/2024);</w:t>
      </w:r>
    </w:p>
    <w:p>
      <w:pPr>
        <w:spacing w:before="0" w:after="60"/>
        <w:ind w:left="283"/>
        <w:jc w:val="both"/>
      </w:pPr>
      <w:r>
        <w:rPr>
          <w:rFonts w:ascii="Times New Roman" w:hAnsi="Times New Roman"/>
          <w:b w:val="0"/>
          <w:i w:val="0"/>
          <w:sz w:val="24"/>
        </w:rPr>
        <w:t>Art. 180 c. 7 C.d.S. - circolazione senza avere la carta di circolazione al seguito (verbale n. 50809T del 20/05/2024);</w:t>
      </w:r>
    </w:p>
    <w:p>
      <w:pPr>
        <w:spacing w:before="0" w:after="60"/>
        <w:ind w:left="283"/>
        <w:jc w:val="both"/>
      </w:pPr>
      <w:r>
        <w:rPr>
          <w:rFonts w:ascii="Times New Roman" w:hAnsi="Times New Roman"/>
          <w:b w:val="0"/>
          <w:i w:val="0"/>
          <w:sz w:val="24"/>
        </w:rPr>
        <w:t>Art. 180 c. 8 C.d.S. - mancata presentazione per esibire la carta di circolazione (verbale n. 202P24 del 24/06/2024);</w:t>
      </w:r>
    </w:p>
    <w:p>
      <w:pPr>
        <w:spacing w:before="0" w:after="60"/>
        <w:ind w:left="283"/>
        <w:jc w:val="both"/>
      </w:pPr>
      <w:r>
        <w:rPr>
          <w:rFonts w:ascii="Times New Roman" w:hAnsi="Times New Roman"/>
          <w:b w:val="0"/>
          <w:i w:val="0"/>
          <w:sz w:val="24"/>
        </w:rPr>
        <w:t>Art. 180 c. 8 C.d.S. - mancata presentazione per esibire la patente di guida (verbale n. 203P24 del 24/06/2024).</w:t>
      </w:r>
    </w:p>
    <w:p>
      <w:pPr>
        <w:spacing w:before="0" w:after="120"/>
        <w:jc w:val="both"/>
      </w:pPr>
      <w:r>
        <w:rPr>
          <w:rFonts w:ascii="Times New Roman" w:hAnsi="Times New Roman"/>
          <w:b w:val="0"/>
          <w:i w:val="0"/>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00" w:after="80"/>
        <w:jc w:val="left"/>
      </w:pPr>
      <w:r>
        <w:rPr>
          <w:rFonts w:ascii="Times New Roman" w:hAnsi="Times New Roman"/>
          <w:b/>
          <w:i w:val="0"/>
          <w:sz w:val="28"/>
        </w:rPr>
        <w:t>IV - Istruttoria carente e tardivamente integrata</w:t>
      </w:r>
    </w:p>
    <w:p>
      <w:pPr>
        <w:spacing w:before="0" w:after="120"/>
        <w:jc w:val="both"/>
      </w:pPr>
      <w:r>
        <w:rPr>
          <w:rFonts w:ascii="Times New Roman" w:hAnsi="Times New Roman"/>
          <w:b w:val="0"/>
          <w:i w:val="0"/>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jc w:val="both"/>
      </w:pPr>
      <w:r>
        <w:rPr>
          <w:rFonts w:ascii="Times New Roman" w:hAnsi="Times New Roman"/>
          <w:b w:val="0"/>
          <w:i w:val="0"/>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00" w:after="80"/>
        <w:jc w:val="left"/>
      </w:pPr>
      <w:r>
        <w:rPr>
          <w:rFonts w:ascii="Times New Roman" w:hAnsi="Times New Roman"/>
          <w:b/>
          <w:i w:val="0"/>
          <w:sz w:val="28"/>
        </w:rPr>
        <w:t>V - Incongruenze materiali nel fascicolo amministrativo</w:t>
      </w:r>
    </w:p>
    <w:p>
      <w:pPr>
        <w:spacing w:before="0" w:after="120"/>
        <w:jc w:val="both"/>
      </w:pPr>
      <w:r>
        <w:rPr>
          <w:rFonts w:ascii="Times New Roman" w:hAnsi="Times New Roman"/>
          <w:b w:val="0"/>
          <w:i w:val="0"/>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60"/>
        <w:ind w:left="283"/>
        <w:jc w:val="both"/>
      </w:pPr>
      <w:r>
        <w:rPr>
          <w:rFonts w:ascii="Times New Roman" w:hAnsi="Times New Roman"/>
          <w:b w:val="0"/>
          <w:i w:val="0"/>
          <w:sz w:val="24"/>
        </w:rPr>
        <w:t>La data di nascita di Campos risulta indicata in alcune pagine come 14/06/1984 anziché 14/06/1994;</w:t>
      </w:r>
    </w:p>
    <w:p>
      <w:pPr>
        <w:spacing w:before="0" w:after="60"/>
        <w:ind w:left="283"/>
        <w:jc w:val="both"/>
      </w:pPr>
      <w:r>
        <w:rPr>
          <w:rFonts w:ascii="Times New Roman" w:hAnsi="Times New Roman"/>
          <w:b w:val="0"/>
          <w:i w:val="0"/>
          <w:sz w:val="24"/>
        </w:rPr>
        <w:t>La residenza del trasgressore è riportata alternativamente come Via della Solidarietà n. 31, Treviglio, e come Via San Benedetto Giuseppe Labre n. 13, Treviglio;</w:t>
      </w:r>
    </w:p>
    <w:p>
      <w:pPr>
        <w:spacing w:before="0" w:after="60"/>
        <w:ind w:left="283"/>
        <w:jc w:val="both"/>
      </w:pPr>
      <w:r>
        <w:rPr>
          <w:rFonts w:ascii="Times New Roman" w:hAnsi="Times New Roman"/>
          <w:b w:val="0"/>
          <w:i w:val="0"/>
          <w:sz w:val="24"/>
        </w:rPr>
        <w:t>La targa del veicolo appare in un punto come CX549ME anziché CX548ME;</w:t>
      </w:r>
    </w:p>
    <w:p>
      <w:pPr>
        <w:spacing w:before="0" w:after="60"/>
        <w:ind w:left="283"/>
        <w:jc w:val="both"/>
      </w:pPr>
      <w:r>
        <w:rPr>
          <w:rFonts w:ascii="Times New Roman" w:hAnsi="Times New Roman"/>
          <w:b w:val="0"/>
          <w:i w:val="0"/>
          <w:sz w:val="24"/>
        </w:rPr>
        <w:t>Il numero del verbale-presupposto del sequestro è indicato in alcuni atti come 49019T e in altri come 49019F;</w:t>
      </w:r>
    </w:p>
    <w:p>
      <w:pPr>
        <w:spacing w:before="0" w:after="60"/>
        <w:ind w:left="283"/>
        <w:jc w:val="both"/>
      </w:pPr>
      <w:r>
        <w:rPr>
          <w:rFonts w:ascii="Times New Roman" w:hAnsi="Times New Roman"/>
          <w:b w:val="0"/>
          <w:i w:val="0"/>
          <w:sz w:val="24"/>
        </w:rPr>
        <w:t>Il numero di telaio del veicolo presenta lievi variazioni tra le diverse copie del verbale di custodia.</w:t>
      </w:r>
    </w:p>
    <w:p>
      <w:pPr>
        <w:spacing w:before="0" w:after="120"/>
        <w:jc w:val="both"/>
      </w:pPr>
      <w:r>
        <w:rPr>
          <w:rFonts w:ascii="Times New Roman" w:hAnsi="Times New Roman"/>
          <w:b w:val="0"/>
          <w:i w:val="0"/>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spacing w:before="240" w:after="160"/>
        <w:jc w:val="center"/>
      </w:pPr>
      <w:r>
        <w:rPr>
          <w:rFonts w:ascii="Times New Roman" w:hAnsi="Times New Roman"/>
          <w:b/>
          <w:i w:val="0"/>
          <w:sz w:val="32"/>
        </w:rPr>
        <w:t>tanto premesso</w:t>
      </w:r>
    </w:p>
    <w:p>
      <w:pPr>
        <w:spacing w:before="0" w:after="120"/>
        <w:jc w:val="both"/>
      </w:pPr>
      <w:r>
        <w:rPr>
          <w:rFonts w:ascii="Times New Roman" w:hAnsi="Times New Roman"/>
          <w:b w:val="0"/>
          <w:i w:val="0"/>
          <w:sz w:val="24"/>
        </w:rPr>
        <w:t>il sig. Campos Omar, ut supra domiciliato, rappresentato e difeso,</w:t>
      </w:r>
    </w:p>
    <w:p>
      <w:pPr>
        <w:keepNext/>
        <w:spacing w:before="240" w:after="160"/>
        <w:jc w:val="center"/>
      </w:pPr>
      <w:r>
        <w:rPr>
          <w:rFonts w:ascii="Times New Roman" w:hAnsi="Times New Roman"/>
          <w:b/>
          <w:i w:val="0"/>
          <w:sz w:val="32"/>
        </w:rPr>
        <w:t>ricorre</w:t>
      </w:r>
    </w:p>
    <w:p>
      <w:pPr>
        <w:spacing w:before="0" w:after="120"/>
        <w:jc w:val="both"/>
      </w:pPr>
      <w:r>
        <w:rPr>
          <w:rFonts w:ascii="Times New Roman" w:hAnsi="Times New Roman"/>
          <w:b w:val="0"/>
          <w:i w:val="0"/>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spacing w:before="240" w:after="160"/>
        <w:jc w:val="center"/>
      </w:pPr>
      <w:r>
        <w:rPr>
          <w:rFonts w:ascii="Times New Roman" w:hAnsi="Times New Roman"/>
          <w:b/>
          <w:i w:val="0"/>
          <w:sz w:val="32"/>
        </w:rPr>
        <w:t>Conclusioni</w:t>
      </w:r>
    </w:p>
    <w:p>
      <w:pPr>
        <w:spacing w:before="0" w:after="120"/>
        <w:jc w:val="both"/>
      </w:pPr>
      <w:r>
        <w:rPr>
          <w:rFonts w:ascii="Times New Roman" w:hAnsi="Times New Roman"/>
          <w:b w:val="0"/>
          <w:i w:val="0"/>
          <w:sz w:val="24"/>
        </w:rPr>
        <w:t>Voglia l'Ill.mo Giudice di Pace adito, contrariis rejectis,</w:t>
      </w:r>
    </w:p>
    <w:p>
      <w:pPr>
        <w:keepNext/>
        <w:spacing w:before="200" w:after="80"/>
        <w:jc w:val="left"/>
      </w:pPr>
      <w:r>
        <w:rPr>
          <w:rFonts w:ascii="Times New Roman" w:hAnsi="Times New Roman"/>
          <w:b/>
          <w:i w:val="0"/>
          <w:sz w:val="28"/>
        </w:rPr>
        <w:t>In via preliminare / cautelare</w:t>
      </w:r>
    </w:p>
    <w:p>
      <w:pPr>
        <w:spacing w:before="0" w:after="120"/>
        <w:jc w:val="both"/>
      </w:pPr>
      <w:r>
        <w:rPr>
          <w:rFonts w:ascii="Times New Roman" w:hAnsi="Times New Roman"/>
          <w:b w:val="0"/>
          <w:i w:val="0"/>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80"/>
        <w:jc w:val="left"/>
      </w:pPr>
      <w:r>
        <w:rPr>
          <w:rFonts w:ascii="Times New Roman" w:hAnsi="Times New Roman"/>
          <w:b/>
          <w:i w:val="0"/>
          <w:sz w:val="28"/>
        </w:rPr>
        <w:t>Nel merito</w:t>
      </w:r>
    </w:p>
    <w:p>
      <w:pPr>
        <w:spacing w:before="0" w:after="120"/>
        <w:jc w:val="both"/>
      </w:pPr>
      <w:r>
        <w:rPr>
          <w:rFonts w:ascii="Times New Roman" w:hAnsi="Times New Roman"/>
          <w:b w:val="0"/>
          <w:i w:val="0"/>
          <w:sz w:val="24"/>
        </w:rPr>
        <w:t>Accertata e dichiarata l'illegittimità del decreto della Prefettura di Brescia del 02/03/2026 n. 2400058609, prot. MIT-PRBSSPC-00025143, per i motivi di cui in narrativa, per l'effetto annullarlo in toto;</w:t>
      </w:r>
    </w:p>
    <w:p>
      <w:pPr>
        <w:spacing w:before="0" w:after="120"/>
        <w:jc w:val="both"/>
      </w:pPr>
      <w:r>
        <w:rPr>
          <w:rFonts w:ascii="Times New Roman" w:hAnsi="Times New Roman"/>
          <w:b w:val="0"/>
          <w:i w:val="0"/>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80"/>
        <w:jc w:val="left"/>
      </w:pPr>
      <w:r>
        <w:rPr>
          <w:rFonts w:ascii="Times New Roman" w:hAnsi="Times New Roman"/>
          <w:b/>
          <w:i w:val="0"/>
          <w:sz w:val="28"/>
        </w:rPr>
        <w:t>In via istruttoria</w:t>
      </w:r>
    </w:p>
    <w:p>
      <w:pPr>
        <w:spacing w:before="0" w:after="120"/>
        <w:jc w:val="both"/>
      </w:pPr>
      <w:r>
        <w:rPr>
          <w:rFonts w:ascii="Times New Roman" w:hAnsi="Times New Roman"/>
          <w:b w:val="0"/>
          <w:i w:val="0"/>
          <w:sz w:val="24"/>
        </w:rPr>
        <w:t>Ammettere prova per interpello e per testi sulle circostanze dedotte in atti, da intendersi quivi riportate, precedute dalla locuzione "vero che", con espressa riserva di capitolare ed indicare i testimoni.</w:t>
      </w:r>
    </w:p>
    <w:p>
      <w:pPr>
        <w:keepNext/>
        <w:spacing w:before="200" w:after="80"/>
        <w:jc w:val="left"/>
      </w:pPr>
      <w:r>
        <w:rPr>
          <w:rFonts w:ascii="Times New Roman" w:hAnsi="Times New Roman"/>
          <w:b/>
          <w:i w:val="0"/>
          <w:sz w:val="28"/>
        </w:rPr>
        <w:t>In ogni caso</w:t>
      </w:r>
    </w:p>
    <w:p>
      <w:pPr>
        <w:spacing w:before="0" w:after="120"/>
        <w:jc w:val="both"/>
      </w:pPr>
      <w:r>
        <w:rPr>
          <w:rFonts w:ascii="Times New Roman" w:hAnsi="Times New Roman"/>
          <w:b w:val="0"/>
          <w:i w:val="0"/>
          <w:sz w:val="24"/>
        </w:rPr>
        <w:t>Con vittoria di spese, diritti, onorari e compensi del presente giudizio.</w:t>
      </w:r>
    </w:p>
    <w:p>
      <w:pPr>
        <w:keepNext/>
        <w:spacing w:before="200" w:after="80"/>
        <w:jc w:val="left"/>
      </w:pPr>
      <w:r>
        <w:rPr>
          <w:rFonts w:ascii="Times New Roman" w:hAnsi="Times New Roman"/>
          <w:b/>
          <w:i w:val="0"/>
          <w:sz w:val="24"/>
        </w:rPr>
        <w:t>Si producono:</w:t>
      </w:r>
    </w:p>
    <w:p>
      <w:pPr>
        <w:spacing w:before="0" w:after="60"/>
        <w:ind w:left="283"/>
        <w:jc w:val="left"/>
      </w:pPr>
      <w:r>
        <w:rPr>
          <w:rFonts w:ascii="Times New Roman" w:hAnsi="Times New Roman"/>
          <w:b w:val="0"/>
          <w:i w:val="0"/>
          <w:sz w:val="24"/>
        </w:rPr>
        <w:t>1 - Procura speciale</w:t>
      </w:r>
    </w:p>
    <w:p>
      <w:pPr>
        <w:spacing w:before="0" w:after="60"/>
        <w:ind w:left="283"/>
        <w:jc w:val="left"/>
      </w:pPr>
      <w:r>
        <w:rPr>
          <w:rFonts w:ascii="Times New Roman" w:hAnsi="Times New Roman"/>
          <w:b w:val="0"/>
          <w:i w:val="0"/>
          <w:sz w:val="24"/>
        </w:rPr>
        <w:t>2 - Carta di identità del ricorrente</w:t>
      </w:r>
    </w:p>
    <w:p>
      <w:pPr>
        <w:spacing w:before="0" w:after="60"/>
        <w:ind w:left="283"/>
        <w:jc w:val="left"/>
      </w:pPr>
      <w:r>
        <w:rPr>
          <w:rFonts w:ascii="Times New Roman" w:hAnsi="Times New Roman"/>
          <w:b w:val="0"/>
          <w:i w:val="0"/>
          <w:sz w:val="24"/>
        </w:rPr>
        <w:t>3 - Decreto Prefettura di Brescia del 02/03/2026 n. 2400058609 con relata di notifica del 29/04/2026</w:t>
      </w:r>
    </w:p>
    <w:p>
      <w:pPr>
        <w:spacing w:before="0" w:after="60"/>
        <w:ind w:left="283"/>
        <w:jc w:val="left"/>
      </w:pPr>
      <w:r>
        <w:rPr>
          <w:rFonts w:ascii="Times New Roman" w:hAnsi="Times New Roman"/>
          <w:b w:val="0"/>
          <w:i w:val="0"/>
          <w:sz w:val="24"/>
        </w:rPr>
        <w:t>4 - Verbale Polizia Locale di Rovato n. 50826T24 del 22/05/2024 (violazione art. 213 c. 8 C.d.S.) con atti allegati</w:t>
      </w:r>
    </w:p>
    <w:p>
      <w:pPr>
        <w:spacing w:before="0" w:after="60"/>
        <w:ind w:left="283"/>
        <w:jc w:val="left"/>
      </w:pPr>
      <w:r>
        <w:rPr>
          <w:rFonts w:ascii="Times New Roman" w:hAnsi="Times New Roman"/>
          <w:b w:val="0"/>
          <w:i w:val="0"/>
          <w:sz w:val="24"/>
        </w:rPr>
        <w:t>5 - Verbali Polizia Locale di Rovato nn. 49019F24, 50808T, 50809T, 202P24, 203P24</w:t>
      </w:r>
    </w:p>
    <w:p>
      <w:pPr>
        <w:spacing w:before="0" w:after="60"/>
        <w:ind w:left="283"/>
        <w:jc w:val="left"/>
      </w:pPr>
      <w:r>
        <w:rPr>
          <w:rFonts w:ascii="Times New Roman" w:hAnsi="Times New Roman"/>
          <w:b w:val="0"/>
          <w:i w:val="0"/>
          <w:sz w:val="24"/>
        </w:rPr>
        <w:t>6 - Comunicazione SANA - Prefettura di Brescia del 15/09/2025 (richiesta documentazione integrativa istruttoria)</w:t>
      </w:r>
    </w:p>
    <w:p>
      <w:pPr>
        <w:spacing w:before="0" w:after="60"/>
        <w:ind w:left="283"/>
        <w:jc w:val="left"/>
      </w:pPr>
      <w:r>
        <w:rPr>
          <w:rFonts w:ascii="Times New Roman" w:hAnsi="Times New Roman"/>
          <w:b w:val="0"/>
          <w:i w:val="0"/>
          <w:sz w:val="24"/>
        </w:rPr>
        <w:t>7 - Sentenza Corte Costituzionale n. 246 del 9 dicembre 2022</w:t>
      </w:r>
    </w:p>
    <w:p>
      <w:pPr>
        <w:keepNext/>
        <w:spacing w:before="200" w:after="80"/>
        <w:jc w:val="left"/>
      </w:pPr>
      <w:r>
        <w:rPr>
          <w:rFonts w:ascii="Times New Roman" w:hAnsi="Times New Roman"/>
          <w:b/>
          <w:i w:val="0"/>
          <w:sz w:val="28"/>
        </w:rPr>
        <w:t>Dichiarazione di valore ai fini del contributo unificato</w:t>
      </w:r>
    </w:p>
    <w:p>
      <w:pPr>
        <w:spacing w:before="0" w:after="120"/>
        <w:jc w:val="both"/>
      </w:pPr>
      <w:r>
        <w:rPr>
          <w:rFonts w:ascii="Times New Roman" w:hAnsi="Times New Roman"/>
          <w:b w:val="0"/>
          <w:i w:val="0"/>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keepNext/>
        <w:spacing w:before="280" w:after="80"/>
        <w:jc w:val="right"/>
      </w:pPr>
      <w:r>
        <w:rPr>
          <w:rFonts w:ascii="Times New Roman" w:hAnsi="Times New Roman"/>
          <w:b w:val="0"/>
          <w:i w:val="0"/>
          <w:sz w:val="24"/>
        </w:rPr>
        <w:t>Con osservanza.</w:t>
      </w:r>
    </w:p>
    <w:p>
      <w:pPr>
        <w:keepNext/>
        <w:spacing w:before="80" w:after="80"/>
        <w:jc w:val="right"/>
      </w:pPr>
      <w:r>
        <w:rPr>
          <w:rFonts w:ascii="Times New Roman" w:hAnsi="Times New Roman"/>
          <w:b w:val="0"/>
          <w:i w:val="0"/>
          <w:sz w:val="24"/>
        </w:rPr>
        <w:t>Bergamo, 12 maggio 2026</w:t>
      </w:r>
    </w:p>
    <w:p>
      <w:pPr>
        <w:spacing w:before="0" w:after="80"/>
        <w:jc w:val="both"/>
      </w:pPr>
    </w:p>
    <w:p>
      <w:pPr>
        <w:spacing w:before="160" w:after="80"/>
        <w:jc w:val="right"/>
      </w:pPr>
      <w:r>
        <w:rPr>
          <w:rFonts w:ascii="Times New Roman" w:hAnsi="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