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27CB" w14:textId="62C6DC4C" w:rsidR="001B0B04" w:rsidRDefault="001B0B04" w:rsidP="001B0B04">
      <w:pPr>
        <w:keepNext/>
        <w:spacing w:after="160"/>
        <w:jc w:val="left"/>
        <w:rPr>
          <w:b/>
          <w:sz w:val="28"/>
        </w:rPr>
      </w:pPr>
      <w:r w:rsidRPr="001B0B04">
        <w:rPr>
          <w:b/>
          <w:sz w:val="28"/>
        </w:rPr>
        <w:t>Temperature-Dependent Pair-Energy Model</w:t>
      </w:r>
    </w:p>
    <w:p w14:paraId="1288446A" w14:textId="27E8CF99" w:rsidR="001B0B04" w:rsidRDefault="001B0B04" w:rsidP="001B0B04">
      <w:r>
        <w:t>A two-particle model was used for 16 nm Fe₃O₄ nanocubes in face to face and tip to tip configurations (Figure Sx). Each particle was represented as a rounded cube with a V6.20 roundness parameter of 1.5 nm and a 1.5 nm ligand shell. The measured magnetization was 55 emu g⁻¹ at 300 K. Conversion with the magnetite density of 5.18 × 10³ kg m⁻³</w:t>
      </w:r>
      <w:r>
        <w:rPr>
          <w:vertAlign w:val="superscript"/>
        </w:rPr>
        <w:t>1</w:t>
      </w:r>
      <w:r>
        <w:t xml:space="preserve"> gave Mₛ = 2.85 × 10⁵ A m⁻¹ and μ = MₛV = 1.17 × 10⁻¹⁸ A m². This conversion assumes normalization to the Fe₃O₄ mass. A surface gap of 3.0 nm gave center distances of 19.0 nm along ⟨100⟩ for the face pair and 28.52 nm along ⟨111⟩ for the tip pair. Only one isolated pair was included.</w:t>
      </w:r>
    </w:p>
    <w:p w14:paraId="6BC5AF9D" w14:textId="19EF13F2" w:rsidR="001B0B04" w:rsidRDefault="001B0B04" w:rsidP="001B0B04">
      <w:r>
        <w:t>The dipolar interaction was</w:t>
      </w:r>
    </w:p>
    <w:p w14:paraId="4E5A50D3" w14:textId="675D8AB8" w:rsidR="001B0B04" w:rsidRPr="001B0B04" w:rsidRDefault="00000000" w:rsidP="001B0B04">
      <w:pPr>
        <w:keepLines/>
        <w:spacing w:before="60" w:after="140"/>
        <w:jc w:val="center"/>
      </w:pPr>
      <m:oMathPara>
        <m:oMath>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dd</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μ</m:t>
                  </m:r>
                </m:e>
                <m:sub>
                  <m:r>
                    <m:rPr>
                      <m:sty m:val="p"/>
                    </m:rPr>
                    <w:rPr>
                      <w:rFonts w:ascii="Cambria Math" w:hAnsi="Cambria Math"/>
                    </w:rPr>
                    <m:t>0</m:t>
                  </m:r>
                </m:sub>
              </m:sSub>
              <m:sSup>
                <m:sSupPr>
                  <m:ctrlPr>
                    <w:rPr>
                      <w:rFonts w:ascii="Cambria Math" w:hAnsi="Cambria Math"/>
                    </w:rPr>
                  </m:ctrlPr>
                </m:sSupPr>
                <m:e>
                  <m:r>
                    <m:rPr>
                      <m:sty m:val="p"/>
                    </m:rPr>
                    <w:rPr>
                      <w:rFonts w:ascii="Cambria Math" w:hAnsi="Cambria Math"/>
                    </w:rPr>
                    <m:t>μ</m:t>
                  </m:r>
                </m:e>
                <m:sup>
                  <m:r>
                    <m:rPr>
                      <m:sty m:val="p"/>
                    </m:rPr>
                    <w:rPr>
                      <w:rFonts w:ascii="Cambria Math" w:hAnsi="Cambria Math"/>
                    </w:rPr>
                    <m:t>2</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e>
          </m:d>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sub>
              </m:sSub>
              <m:r>
                <m:rPr>
                  <m:sty m:val="p"/>
                </m:rPr>
                <w:rPr>
                  <w:rFonts w:ascii="Cambria Math" w:hAnsi="Cambria Math"/>
                </w:rPr>
                <m:t>-3</m:t>
              </m:r>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1</m:t>
                      </m:r>
                    </m:sub>
                  </m:sSub>
                  <m:r>
                    <m:rPr>
                      <m:sty m:val="p"/>
                    </m:rPr>
                    <w:rPr>
                      <w:rFonts w:ascii="Cambria Math" w:hAnsi="Cambria Math"/>
                    </w:rPr>
                    <m:t>·r̂</m:t>
                  </m:r>
                </m:e>
              </m:d>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2</m:t>
                      </m:r>
                    </m:sub>
                  </m:sSub>
                  <m:r>
                    <m:rPr>
                      <m:sty m:val="p"/>
                    </m:rPr>
                    <w:rPr>
                      <w:rFonts w:ascii="Cambria Math" w:hAnsi="Cambria Math"/>
                    </w:rPr>
                    <m:t>·r̂</m:t>
                  </m:r>
                </m:e>
              </m:d>
            </m:e>
          </m:d>
          <m:r>
            <m:rPr>
              <m:sty m:val="p"/>
            </m:rPr>
            <w:rPr>
              <w:rFonts w:ascii="Cambria Math" w:hAnsi="Cambria Math"/>
            </w:rPr>
            <m:t>.</m:t>
          </m:r>
        </m:oMath>
      </m:oMathPara>
    </w:p>
    <w:p w14:paraId="2939BE54" w14:textId="274775C2" w:rsidR="001B0B04" w:rsidRDefault="001B0B04" w:rsidP="001B0B04">
      <w:r>
        <w:t>Here, m1 and m2 are unit moment vectors and r̂ joins the particle centers. Cubic anisotropy was written as</w:t>
      </w:r>
    </w:p>
    <w:p w14:paraId="12035A33" w14:textId="3B6AAC6F" w:rsidR="001B0B04" w:rsidRPr="001B0B04" w:rsidRDefault="00000000" w:rsidP="001B0B04">
      <w:pPr>
        <w:keepLines/>
        <w:spacing w:before="60" w:after="140"/>
        <w:jc w:val="center"/>
      </w:pPr>
      <m:oMathPara>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ani</m:t>
                  </m:r>
                </m:e>
              </m:d>
            </m:sub>
          </m:sSub>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K</m:t>
              </m:r>
            </m:e>
            <m:sub>
              <m:d>
                <m:dPr>
                  <m:ctrlPr>
                    <w:rPr>
                      <w:rFonts w:ascii="Cambria Math" w:hAnsi="Cambria Math"/>
                    </w:rPr>
                  </m:ctrlPr>
                </m:dPr>
                <m:e>
                  <m:r>
                    <w:rPr>
                      <w:rFonts w:ascii="Cambria Math" w:hAnsi="Cambria Math"/>
                    </w:rPr>
                    <m:t>cubic</m:t>
                  </m:r>
                </m:e>
              </m:d>
            </m:sub>
          </m:sSub>
          <m:r>
            <w:rPr>
              <w:rFonts w:ascii="Cambria Math" w:hAnsi="Cambria Math"/>
            </w:rPr>
            <m:t>V</m:t>
          </m:r>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x</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m</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x</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m</m:t>
                  </m:r>
                </m:e>
                <m:sub>
                  <m:r>
                    <w:rPr>
                      <w:rFonts w:ascii="Cambria Math" w:hAnsi="Cambria Math"/>
                    </w:rPr>
                    <m:t>z</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y</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m</m:t>
                  </m:r>
                </m:e>
                <m:sub>
                  <m:r>
                    <w:rPr>
                      <w:rFonts w:ascii="Cambria Math" w:hAnsi="Cambria Math"/>
                    </w:rPr>
                    <m:t>z</m:t>
                  </m:r>
                </m:sub>
                <m:sup>
                  <m:r>
                    <m:rPr>
                      <m:sty m:val="p"/>
                    </m:rPr>
                    <w:rPr>
                      <w:rFonts w:ascii="Cambria Math" w:hAnsi="Cambria Math"/>
                    </w:rPr>
                    <m:t>2</m:t>
                  </m:r>
                </m:sup>
              </m:sSubSup>
            </m:e>
          </m:d>
          <m:r>
            <m:rPr>
              <m:sty m:val="p"/>
            </m:rPr>
            <w:rPr>
              <w:rFonts w:ascii="Cambria Math" w:hAnsi="Cambria Math"/>
            </w:rPr>
            <m:t>,</m:t>
          </m:r>
        </m:oMath>
      </m:oMathPara>
    </w:p>
    <w:p w14:paraId="11C5CB3C" w14:textId="1A0563A1" w:rsidR="001B0B04" w:rsidRDefault="001B0B04" w:rsidP="001B0B04">
      <w:r>
        <w:t>This potential has eight ⟨111⟩ minima and an adjacent-well barrier ΔE = KcubicV/12.</w:t>
      </w:r>
      <w:r>
        <w:rPr>
          <w:vertAlign w:val="superscript"/>
        </w:rPr>
        <w:t>2</w:t>
      </w:r>
      <w:r>
        <w:t xml:space="preserve"> The coefficient Kcubic was obtained from the measured blocking temperature of 250 K using</w:t>
      </w:r>
    </w:p>
    <w:p w14:paraId="388605BE" w14:textId="631774E4" w:rsidR="001B0B04" w:rsidRPr="001B0B04" w:rsidRDefault="001B0B04" w:rsidP="001B0B04">
      <w:pPr>
        <w:keepLines/>
        <w:spacing w:before="60" w:after="140"/>
        <w:jc w:val="center"/>
      </w:pPr>
      <m:oMathPara>
        <m:oMath>
          <m:r>
            <m:rPr>
              <m:sty m:val="p"/>
            </m:rPr>
            <w:rPr>
              <w:rFonts w:ascii="Cambria Math" w:hAnsi="Cambria Math"/>
            </w:rPr>
            <m:t>ΔE=</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B</m:t>
              </m:r>
            </m:sub>
          </m:sSub>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d>
                    <m:dPr>
                      <m:ctrlPr>
                        <w:rPr>
                          <w:rFonts w:ascii="Cambria Math" w:hAnsi="Cambria Math"/>
                        </w:rPr>
                      </m:ctrlPr>
                    </m:dPr>
                    <m:e>
                      <m:r>
                        <m:rPr>
                          <m:sty m:val="p"/>
                        </m:rPr>
                        <w:rPr>
                          <w:rFonts w:ascii="Cambria Math" w:hAnsi="Cambria Math"/>
                        </w:rPr>
                        <m:t>ZFC/FC</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0</m:t>
                  </m:r>
                </m:sub>
              </m:sSub>
            </m:e>
          </m:d>
          <m:r>
            <m:rPr>
              <m:sty m:val="p"/>
            </m:rPr>
            <w:rPr>
              <w:rFonts w:ascii="Cambria Math" w:hAnsi="Cambria Math"/>
            </w:rPr>
            <m:t>,</m:t>
          </m:r>
        </m:oMath>
      </m:oMathPara>
    </w:p>
    <w:p w14:paraId="218786C9" w14:textId="674A8810" w:rsidR="001B0B04" w:rsidRDefault="001B0B04" w:rsidP="001B0B04">
      <w:r>
        <w:t>For tZFC = 100 s and τ₀ = 0.98 ns,</w:t>
      </w:r>
      <w:r>
        <w:rPr>
          <w:vertAlign w:val="superscript"/>
        </w:rPr>
        <w:t>3</w:t>
      </w:r>
      <w:r>
        <w:t xml:space="preserve"> the barrier was 8.75 × 10⁻²⁰ J and Kcubic was 2.56 × 10⁵ J m⁻³. The blocking temperature and tZFC were experimental inputs.</w:t>
      </w:r>
    </w:p>
    <w:p w14:paraId="4BB9FA8C" w14:textId="38CD9A90" w:rsidR="001B0B04" w:rsidRDefault="001B0B04" w:rsidP="001B0B04">
      <w:r>
        <w:t>Thermal confinement of a moment within one ⟨111⟩ basin was described by</w:t>
      </w:r>
    </w:p>
    <w:p w14:paraId="595C9421" w14:textId="0FE44530" w:rsidR="001B0B04" w:rsidRPr="001B0B04" w:rsidRDefault="001B0B04" w:rsidP="001B0B04">
      <w:pPr>
        <w:keepLines/>
        <w:spacing w:before="60" w:after="140"/>
        <w:jc w:val="center"/>
      </w:pPr>
      <m:oMathPara>
        <m:oMath>
          <m:r>
            <m:rPr>
              <m:sty m:val="p"/>
            </m:rPr>
            <w:rPr>
              <w:rFonts w:ascii="Cambria Math" w:hAnsi="Cambria Math"/>
            </w:rPr>
            <m:t>q</m:t>
          </m:r>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d>
                            <m:dPr>
                              <m:ctrlPr>
                                <w:rPr>
                                  <w:rFonts w:ascii="Cambria Math" w:hAnsi="Cambria Math"/>
                                </w:rPr>
                              </m:ctrlPr>
                            </m:dPr>
                            <m:e>
                              <m:r>
                                <m:rPr>
                                  <m:sty m:val="p"/>
                                </m:rPr>
                                <w:rPr>
                                  <w:rFonts w:ascii="Cambria Math" w:hAnsi="Cambria Math"/>
                                </w:rPr>
                                <m:t>111</m:t>
                              </m:r>
                            </m:e>
                          </m:d>
                        </m:sub>
                      </m:sSub>
                    </m:e>
                  </m:d>
                </m:sub>
              </m:sSub>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111</m:t>
                          </m:r>
                        </m:e>
                      </m:d>
                    </m:sub>
                  </m:sSub>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ani</m:t>
                              </m:r>
                            </m:e>
                          </m:d>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ani</m:t>
                              </m:r>
                            </m:e>
                          </m:d>
                        </m:sub>
                        <m:sup>
                          <m:d>
                            <m:dPr>
                              <m:ctrlPr>
                                <w:rPr>
                                  <w:rFonts w:ascii="Cambria Math" w:hAnsi="Cambria Math"/>
                                </w:rPr>
                              </m:ctrlPr>
                            </m:dPr>
                            <m:e>
                              <m:r>
                                <m:rPr>
                                  <m:sty m:val="p"/>
                                </m:rPr>
                                <w:rPr>
                                  <w:rFonts w:ascii="Cambria Math" w:hAnsi="Cambria Math"/>
                                </w:rPr>
                                <m:t>min</m:t>
                              </m:r>
                            </m:e>
                          </m:d>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T</m:t>
                      </m:r>
                    </m:e>
                  </m:d>
                </m:e>
              </m:d>
              <m:r>
                <m:rPr>
                  <m:sty m:val="p"/>
                </m:rPr>
                <w:rPr>
                  <w:rFonts w:ascii="Cambria Math" w:hAnsi="Cambria Math"/>
                </w:rPr>
                <m:t>dΩ</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d>
                            <m:dPr>
                              <m:ctrlPr>
                                <w:rPr>
                                  <w:rFonts w:ascii="Cambria Math" w:hAnsi="Cambria Math"/>
                                </w:rPr>
                              </m:ctrlPr>
                            </m:dPr>
                            <m:e>
                              <m:r>
                                <m:rPr>
                                  <m:sty m:val="p"/>
                                </m:rPr>
                                <w:rPr>
                                  <w:rFonts w:ascii="Cambria Math" w:hAnsi="Cambria Math"/>
                                </w:rPr>
                                <m:t>111</m:t>
                              </m:r>
                            </m:e>
                          </m:d>
                        </m:sub>
                      </m:sSub>
                    </m:e>
                  </m:d>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ani</m:t>
                              </m:r>
                            </m:e>
                          </m:d>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ani</m:t>
                              </m:r>
                            </m:e>
                          </m:d>
                        </m:sub>
                        <m:sup>
                          <m:d>
                            <m:dPr>
                              <m:ctrlPr>
                                <w:rPr>
                                  <w:rFonts w:ascii="Cambria Math" w:hAnsi="Cambria Math"/>
                                </w:rPr>
                              </m:ctrlPr>
                            </m:dPr>
                            <m:e>
                              <m:r>
                                <m:rPr>
                                  <m:sty m:val="p"/>
                                </m:rPr>
                                <w:rPr>
                                  <w:rFonts w:ascii="Cambria Math" w:hAnsi="Cambria Math"/>
                                </w:rPr>
                                <m:t>min</m:t>
                              </m:r>
                            </m:e>
                          </m:d>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T</m:t>
                      </m:r>
                    </m:e>
                  </m:d>
                </m:e>
              </m:d>
              <m:r>
                <m:rPr>
                  <m:sty m:val="p"/>
                </m:rPr>
                <w:rPr>
                  <w:rFonts w:ascii="Cambria Math" w:hAnsi="Cambria Math"/>
                </w:rPr>
                <m:t>dΩ</m:t>
              </m:r>
            </m:e>
          </m:d>
          <m:r>
            <m:rPr>
              <m:sty m:val="p"/>
            </m:rPr>
            <w:rPr>
              <w:rFonts w:ascii="Cambria Math" w:hAnsi="Cambria Math"/>
            </w:rPr>
            <m:t>.</m:t>
          </m:r>
        </m:oMath>
      </m:oMathPara>
    </w:p>
    <w:p w14:paraId="60B4EBF4" w14:textId="2B50CC32" w:rsidR="001B0B04" w:rsidRDefault="001B0B04" w:rsidP="001B0B04">
      <w:r>
        <w:t>Easy-axis and saddle dipolar energies were multiplied by q(T)². Moment locking therefore changed continuously with temperature.</w:t>
      </w:r>
    </w:p>
    <w:p w14:paraId="50B8BCA0" w14:textId="77125485" w:rsidR="001B0B04" w:rsidRDefault="001B0B04" w:rsidP="001B0B04">
      <w:r>
        <w:t>Néel relaxation was treated with a 64-state master equation containing all 8 × 8 easy-axis pairs.</w:t>
      </w:r>
      <w:r>
        <w:rPr>
          <w:vertAlign w:val="superscript"/>
        </w:rPr>
        <w:t>4,5</w:t>
      </w:r>
      <w:r>
        <w:t xml:space="preserve"> One Cartesian sign changed in each elementary step, giving three adjacent ⟨110⟩ saddles from every minimum. The transition rate was</w:t>
      </w:r>
    </w:p>
    <w:p w14:paraId="097A3996" w14:textId="5D6EF6EE" w:rsidR="001B0B04" w:rsidRPr="001B0B04" w:rsidRDefault="00000000" w:rsidP="001B0B04">
      <w:pPr>
        <w:keepLines/>
        <w:spacing w:before="60" w:after="140"/>
        <w:jc w:val="center"/>
      </w:pPr>
      <m:oMathPara>
        <m:oMath>
          <m:sSub>
            <m:sSubPr>
              <m:ctrlPr>
                <w:rPr>
                  <w:rFonts w:ascii="Cambria Math" w:hAnsi="Cambria Math"/>
                </w:rPr>
              </m:ctrlPr>
            </m:sSubPr>
            <m:e>
              <m:r>
                <w:rPr>
                  <w:rFonts w:ascii="Cambria Math" w:hAnsi="Cambria Math"/>
                </w:rPr>
                <m:t>k</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ub>
          </m:sSub>
          <m:r>
            <m:rPr>
              <m:sty m:val="p"/>
            </m:rPr>
            <w:rPr>
              <w:rFonts w:ascii="Cambria Math" w:hAnsi="Cambria Math"/>
            </w:rPr>
            <m:t>=1/</m:t>
          </m:r>
          <m:d>
            <m:dPr>
              <m:ctrlPr>
                <w:rPr>
                  <w:rFonts w:ascii="Cambria Math" w:hAnsi="Cambria Math"/>
                </w:rPr>
              </m:ctrlPr>
            </m:dPr>
            <m:e>
              <m:r>
                <m:rPr>
                  <m:sty m:val="p"/>
                </m:rPr>
                <w:rPr>
                  <w:rFonts w:ascii="Cambria Math" w:hAnsi="Cambria Math"/>
                </w:rPr>
                <m:t>3</m:t>
              </m:r>
              <m:sSub>
                <m:sSubPr>
                  <m:ctrlPr>
                    <w:rPr>
                      <w:rFonts w:ascii="Cambria Math" w:hAnsi="Cambria Math"/>
                    </w:rPr>
                  </m:ctrlPr>
                </m:sSubPr>
                <m:e>
                  <m:r>
                    <w:rPr>
                      <w:rFonts w:ascii="Cambria Math" w:hAnsi="Cambria Math"/>
                    </w:rPr>
                    <m:t>τ</m:t>
                  </m:r>
                </m:e>
                <m:sub>
                  <m:r>
                    <m:rPr>
                      <m:sty m:val="p"/>
                    </m:rPr>
                    <w:rPr>
                      <w:rFonts w:ascii="Cambria Math" w:hAnsi="Cambria Math"/>
                    </w:rPr>
                    <m:t>0</m:t>
                  </m:r>
                </m:sub>
              </m:sSub>
            </m:e>
          </m:d>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max</m:t>
              </m:r>
              <m:d>
                <m:dPr>
                  <m:begChr m:val="["/>
                  <m:endChr m:val="]"/>
                  <m:ctrlPr>
                    <w:rPr>
                      <w:rFonts w:ascii="Cambria Math" w:hAnsi="Cambria Math"/>
                    </w:rPr>
                  </m:ctrlPr>
                </m:dPr>
                <m:e>
                  <m:r>
                    <w:rPr>
                      <w:rFonts w:ascii="Cambria Math" w:hAnsi="Cambria Math"/>
                    </w:rPr>
                    <m:t>ΔE</m:t>
                  </m:r>
                  <m:r>
                    <m:rPr>
                      <m:sty m:val="p"/>
                    </m:rPr>
                    <w:rPr>
                      <w:rFonts w:ascii="Cambria Math" w:hAnsi="Cambria Math"/>
                    </w:rPr>
                    <m:t>+</m:t>
                  </m:r>
                  <m:sSubSup>
                    <m:sSubSupPr>
                      <m:ctrlPr>
                        <w:rPr>
                          <w:rFonts w:ascii="Cambria Math" w:hAnsi="Cambria Math"/>
                        </w:rPr>
                      </m:ctrlPr>
                    </m:sSubSupPr>
                    <m:e>
                      <m:r>
                        <w:rPr>
                          <w:rFonts w:ascii="Cambria Math" w:hAnsi="Cambria Math"/>
                        </w:rPr>
                        <m:t>E</m:t>
                      </m:r>
                    </m:e>
                    <m:sub>
                      <m:d>
                        <m:dPr>
                          <m:ctrlPr>
                            <w:rPr>
                              <w:rFonts w:ascii="Cambria Math" w:hAnsi="Cambria Math"/>
                            </w:rPr>
                          </m:ctrlPr>
                        </m:dPr>
                        <m:e>
                          <m:r>
                            <w:rPr>
                              <w:rFonts w:ascii="Cambria Math" w:hAnsi="Cambria Math"/>
                            </w:rPr>
                            <m:t>dd</m:t>
                          </m:r>
                        </m:e>
                      </m:d>
                    </m:sub>
                    <m:sup>
                      <m:d>
                        <m:dPr>
                          <m:ctrlPr>
                            <w:rPr>
                              <w:rFonts w:ascii="Cambria Math" w:hAnsi="Cambria Math"/>
                            </w:rPr>
                          </m:ctrlPr>
                        </m:dPr>
                        <m:e>
                          <m:r>
                            <w:rPr>
                              <w:rFonts w:ascii="Cambria Math" w:hAnsi="Cambria Math"/>
                            </w:rPr>
                            <m:t>saddle</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d>
                        <m:dPr>
                          <m:ctrlPr>
                            <w:rPr>
                              <w:rFonts w:ascii="Cambria Math" w:hAnsi="Cambria Math"/>
                            </w:rPr>
                          </m:ctrlPr>
                        </m:dPr>
                        <m:e>
                          <m:r>
                            <w:rPr>
                              <w:rFonts w:ascii="Cambria Math" w:hAnsi="Cambria Math"/>
                            </w:rPr>
                            <m:t>dd</m:t>
                          </m:r>
                        </m:e>
                      </m:d>
                    </m:sub>
                    <m:sup>
                      <m:r>
                        <w:rPr>
                          <w:rFonts w:ascii="Cambria Math" w:hAnsi="Cambria Math"/>
                        </w:rPr>
                        <m:t>i</m:t>
                      </m:r>
                    </m:sup>
                  </m:sSubSup>
                  <m:r>
                    <m:rPr>
                      <m:sty m:val="p"/>
                    </m:rPr>
                    <w:rPr>
                      <w:rFonts w:ascii="Cambria Math" w:hAnsi="Cambria Math"/>
                    </w:rPr>
                    <m:t>,0</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e>
          </m:d>
          <m:r>
            <m:rPr>
              <m:sty m:val="p"/>
            </m:rPr>
            <w:rPr>
              <w:rFonts w:ascii="Cambria Math" w:hAnsi="Cambria Math"/>
            </w:rPr>
            <m:t>.</m:t>
          </m:r>
        </m:oMath>
      </m:oMathPara>
    </w:p>
    <w:p w14:paraId="02524709" w14:textId="32110304" w:rsidR="001B0B04" w:rsidRDefault="001B0B04" w:rsidP="001B0B04">
      <w:r>
        <w:t>The factor 1/3 partitions the total escape rate among the three adjacent saddles. CV = 0 was used, so all particles had D = 16 nm. Each temperature was initialized independently at 1/64 and propagated in 5 s increments. The effective observation window was 20 s. This model timescale is distinct from the 150 s SAXS integration.</w:t>
      </w:r>
    </w:p>
    <w:p w14:paraId="08070349" w14:textId="1015C44A" w:rsidR="001B0B04" w:rsidRDefault="001B0B04" w:rsidP="001B0B04">
      <w:r>
        <w:t>Brownian rotation was applied to moments that remained in their initial anisotropy basin. For CV = 0, the blocked fraction was</w:t>
      </w:r>
    </w:p>
    <w:p w14:paraId="6B4EEC87" w14:textId="47D874FF" w:rsidR="001B0B04" w:rsidRPr="001B0B04" w:rsidRDefault="00000000" w:rsidP="001B0B04">
      <w:pPr>
        <w:keepLines/>
        <w:spacing w:before="60" w:after="140"/>
        <w:jc w:val="center"/>
      </w:pPr>
      <m:oMathPara>
        <m:oMath>
          <m:sSub>
            <m:sSubPr>
              <m:ctrlPr>
                <w:rPr>
                  <w:rFonts w:ascii="Cambria Math" w:hAnsi="Cambria Math"/>
                </w:rPr>
              </m:ctrlPr>
            </m:sSubPr>
            <m:e>
              <m:r>
                <m:rPr>
                  <m:sty m:val="p"/>
                </m:rPr>
                <w:rPr>
                  <w:rFonts w:ascii="Cambria Math" w:hAnsi="Cambria Math"/>
                </w:rPr>
                <m:t>f</m:t>
              </m:r>
            </m:e>
            <m:sub>
              <m:d>
                <m:dPr>
                  <m:ctrlPr>
                    <w:rPr>
                      <w:rFonts w:ascii="Cambria Math" w:hAnsi="Cambria Math"/>
                    </w:rPr>
                  </m:ctrlPr>
                </m:dPr>
                <m:e>
                  <m:r>
                    <m:rPr>
                      <m:sty m:val="p"/>
                    </m:rPr>
                    <w:rPr>
                      <w:rFonts w:ascii="Cambria Math" w:hAnsi="Cambria Math"/>
                    </w:rPr>
                    <m:t>block</m:t>
                  </m:r>
                </m:e>
              </m:d>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α</m:t>
              </m:r>
            </m:sub>
          </m:sSub>
          <m:sSub>
            <m:sSubPr>
              <m:ctrlPr>
                <w:rPr>
                  <w:rFonts w:ascii="Cambria Math" w:hAnsi="Cambria Math"/>
                </w:rPr>
              </m:ctrlPr>
            </m:sSubPr>
            <m:e>
              <m:r>
                <m:rPr>
                  <m:sty m:val="p"/>
                </m:rPr>
                <w:rPr>
                  <w:rFonts w:ascii="Cambria Math" w:hAnsi="Cambria Math"/>
                </w:rPr>
                <m:t>w</m:t>
              </m:r>
            </m:e>
            <m:sub>
              <m:r>
                <m:rPr>
                  <m:sty m:val="p"/>
                </m:rPr>
                <w:rPr>
                  <w:rFonts w:ascii="Cambria Math" w:hAnsi="Cambria Math"/>
                </w:rPr>
                <m:t>α</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d>
                    <m:dPr>
                      <m:ctrlPr>
                        <w:rPr>
                          <w:rFonts w:ascii="Cambria Math" w:hAnsi="Cambria Math"/>
                        </w:rPr>
                      </m:ctrlPr>
                    </m:dPr>
                    <m:e>
                      <m:r>
                        <m:rPr>
                          <m:sty m:val="p"/>
                        </m:rPr>
                        <w:rPr>
                          <w:rFonts w:ascii="Cambria Math" w:hAnsi="Cambria Math"/>
                        </w:rPr>
                        <m:t>eff</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τ</m:t>
                  </m:r>
                </m:e>
                <m:sub>
                  <m:d>
                    <m:dPr>
                      <m:ctrlPr>
                        <w:rPr>
                          <w:rFonts w:ascii="Cambria Math" w:hAnsi="Cambria Math"/>
                        </w:rPr>
                      </m:ctrlPr>
                    </m:dPr>
                    <m:e>
                      <m:r>
                        <m:rPr>
                          <m:sty m:val="p"/>
                        </m:rPr>
                        <w:rPr>
                          <w:rFonts w:ascii="Cambria Math" w:hAnsi="Cambria Math"/>
                        </w:rPr>
                        <m:t>N,α</m:t>
                      </m:r>
                    </m:e>
                  </m:d>
                </m:sub>
              </m:sSub>
              <m:d>
                <m:dPr>
                  <m:ctrlPr>
                    <w:rPr>
                      <w:rFonts w:ascii="Cambria Math" w:hAnsi="Cambria Math"/>
                    </w:rPr>
                  </m:ctrlPr>
                </m:dPr>
                <m:e>
                  <m:r>
                    <m:rPr>
                      <m:sty m:val="p"/>
                    </m:rPr>
                    <w:rPr>
                      <w:rFonts w:ascii="Cambria Math" w:hAnsi="Cambria Math"/>
                    </w:rPr>
                    <m:t>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τ</m:t>
              </m:r>
            </m:e>
            <m:sub>
              <m:d>
                <m:dPr>
                  <m:ctrlPr>
                    <w:rPr>
                      <w:rFonts w:ascii="Cambria Math" w:hAnsi="Cambria Math"/>
                    </w:rPr>
                  </m:ctrlPr>
                </m:dPr>
                <m:e>
                  <m:r>
                    <m:rPr>
                      <m:sty m:val="p"/>
                    </m:rPr>
                    <w:rPr>
                      <w:rFonts w:ascii="Cambria Math" w:hAnsi="Cambria Math"/>
                    </w:rPr>
                    <m:t>N,α</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0</m:t>
              </m:r>
            </m:sub>
          </m:sSub>
          <m:r>
            <m:rPr>
              <m:sty m:val="p"/>
            </m:rPr>
            <w:rPr>
              <w:rFonts w:ascii="Cambria Math" w:hAnsi="Cambria Math"/>
            </w:rPr>
            <m:t>exp</m:t>
          </m:r>
          <m:d>
            <m:dPr>
              <m:ctrlPr>
                <w:rPr>
                  <w:rFonts w:ascii="Cambria Math" w:hAnsi="Cambria Math"/>
                </w:rPr>
              </m:ctrlPr>
            </m:dPr>
            <m:e>
              <m:r>
                <m:rPr>
                  <m:sty m:val="p"/>
                </m:rPr>
                <w:rPr>
                  <w:rFonts w:ascii="Cambria Math" w:hAnsi="Cambria Math"/>
                </w:rPr>
                <m:t>Δ</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α</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T</m:t>
                  </m:r>
                </m:e>
              </m:d>
            </m:e>
          </m:d>
          <m:r>
            <m:rPr>
              <m:sty m:val="p"/>
            </m:rPr>
            <w:rPr>
              <w:rFonts w:ascii="Cambria Math" w:hAnsi="Cambria Math"/>
            </w:rPr>
            <m:t>.</m:t>
          </m:r>
        </m:oMath>
      </m:oMathPara>
    </w:p>
    <w:p w14:paraId="513BD9AB" w14:textId="001A4E11" w:rsidR="001B0B04" w:rsidRDefault="001B0B04" w:rsidP="001B0B04">
      <w:r>
        <w:t>The Brownian rotational time and alignment fraction were</w:t>
      </w:r>
    </w:p>
    <w:p w14:paraId="63053355" w14:textId="4E396744" w:rsidR="001B0B04" w:rsidRPr="001B0B04" w:rsidRDefault="00000000" w:rsidP="001B0B04">
      <w:pPr>
        <w:keepLines/>
        <w:spacing w:before="60" w:after="140"/>
        <w:jc w:val="center"/>
      </w:pPr>
      <m:oMathPara>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B</m:t>
              </m:r>
            </m:sub>
          </m:sSub>
          <m:r>
            <m:rPr>
              <m:sty m:val="p"/>
            </m:rPr>
            <w:rPr>
              <w:rFonts w:ascii="Cambria Math" w:hAnsi="Cambria Math"/>
            </w:rPr>
            <m:t>=</m:t>
          </m:r>
          <m:d>
            <m:dPr>
              <m:ctrlPr>
                <w:rPr>
                  <w:rFonts w:ascii="Cambria Math" w:hAnsi="Cambria Math"/>
                </w:rPr>
              </m:ctrlPr>
            </m:dPr>
            <m:e>
              <m:r>
                <m:rPr>
                  <m:sty m:val="p"/>
                </m:rPr>
                <w:rPr>
                  <w:rFonts w:ascii="Cambria Math" w:hAnsi="Cambria Math"/>
                </w:rPr>
                <m:t>3η</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H</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B</m:t>
              </m:r>
            </m:sub>
          </m:sSub>
          <m:r>
            <m:rPr>
              <m:sty m:val="p"/>
            </m:rPr>
            <w:rPr>
              <w:rFonts w:ascii="Cambria Math" w:hAnsi="Cambria Math"/>
            </w:rPr>
            <m:t>=1-exp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d>
                    <m:dPr>
                      <m:ctrlPr>
                        <w:rPr>
                          <w:rFonts w:ascii="Cambria Math" w:hAnsi="Cambria Math"/>
                        </w:rPr>
                      </m:ctrlPr>
                    </m:dPr>
                    <m:e>
                      <m:r>
                        <m:rPr>
                          <m:sty m:val="p"/>
                        </m:rPr>
                        <w:rPr>
                          <w:rFonts w:ascii="Cambria Math" w:hAnsi="Cambria Math"/>
                        </w:rPr>
                        <m:t>eff</m:t>
                      </m:r>
                    </m:e>
                  </m:d>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B</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H</m:t>
              </m:r>
            </m:sub>
          </m:sSub>
          <m:r>
            <m:rPr>
              <m:sty m:val="p"/>
            </m:rPr>
            <w:rPr>
              <w:rFonts w:ascii="Cambria Math" w:hAnsi="Cambria Math"/>
            </w:rPr>
            <m:t>=</m:t>
          </m:r>
          <m:d>
            <m:dPr>
              <m:ctrlPr>
                <w:rPr>
                  <w:rFonts w:ascii="Cambria Math" w:hAnsi="Cambria Math"/>
                </w:rPr>
              </m:ctrlPr>
            </m:dPr>
            <m:e>
              <m:r>
                <m:rPr>
                  <m:sty m:val="p"/>
                </m:rPr>
                <w:rPr>
                  <w:rFonts w:ascii="Cambria Math" w:hAnsi="Cambria Math"/>
                </w:rPr>
                <m:t>π</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H</m:t>
                  </m:r>
                </m:sub>
                <m:sup>
                  <m:r>
                    <m:rPr>
                      <m:sty m:val="p"/>
                    </m:rPr>
                    <w:rPr>
                      <w:rFonts w:ascii="Cambria Math" w:hAnsi="Cambria Math"/>
                    </w:rPr>
                    <m:t>3</m:t>
                  </m:r>
                </m:sup>
              </m:sSubSup>
            </m:e>
          </m:d>
          <m:r>
            <m:rPr>
              <m:sty m:val="p"/>
            </m:rPr>
            <w:rPr>
              <w:rFonts w:ascii="Cambria Math" w:hAnsi="Cambria Math"/>
            </w:rPr>
            <m:t>/6.</m:t>
          </m:r>
        </m:oMath>
      </m:oMathPara>
    </w:p>
    <w:p w14:paraId="02D42A47" w14:textId="18949A74" w:rsidR="001B0B04" w:rsidRDefault="001B0B04" w:rsidP="001B0B04">
      <w:r>
        <w:t>The hydrodynamic diameter was 19.0 nm. The temperature-dependent viscosity was obtained from the NIST correlation for liquid n-hexane.</w:t>
      </w:r>
      <w:r>
        <w:rPr>
          <w:vertAlign w:val="superscript"/>
        </w:rPr>
        <w:t>6</w:t>
      </w:r>
      <w:r>
        <w:t xml:space="preserve"> A fit to the 250 to 350 K values gave η = 0.292 mPa s at 300 K and 0.513 mPa s at 250 K. Extrapolation gave 1.046 mPa s at 200 K. The Brownian time increased from 0.759 μs at 300 K to 4.08 μs at 200 K. Thus fB was effectively one over 20 s wherever cube rotation was allowed. For the tip pair, the blocked population could rotate toward the head to tail minimum, giving</w:t>
      </w:r>
    </w:p>
    <w:p w14:paraId="57100D3B" w14:textId="6FF76A01" w:rsidR="001B0B04" w:rsidRPr="001B0B04" w:rsidRDefault="00000000" w:rsidP="001B0B04">
      <w:pPr>
        <w:keepLines/>
        <w:spacing w:before="60" w:after="140"/>
        <w:jc w:val="center"/>
      </w:pPr>
      <m:oMathPara>
        <m:oMath>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mag</m:t>
                  </m:r>
                </m:e>
              </m:d>
            </m:sub>
            <m:sup>
              <m:d>
                <m:dPr>
                  <m:ctrlPr>
                    <w:rPr>
                      <w:rFonts w:ascii="Cambria Math" w:hAnsi="Cambria Math"/>
                    </w:rPr>
                  </m:ctrlPr>
                </m:dPr>
                <m:e>
                  <m:r>
                    <m:rPr>
                      <m:sty m:val="p"/>
                    </m:rPr>
                    <w:rPr>
                      <w:rFonts w:ascii="Cambria Math" w:hAnsi="Cambria Math"/>
                    </w:rPr>
                    <m:t>tip</m:t>
                  </m:r>
                </m:e>
              </m:d>
            </m:sup>
          </m:sSubSup>
          <m:r>
            <m:rPr>
              <m:sty m:val="p"/>
            </m:rPr>
            <w:rPr>
              <w:rFonts w:ascii="Cambria Math" w:hAnsi="Cambria Math"/>
            </w:rPr>
            <m:t>=E</m:t>
          </m:r>
          <m:sSubSup>
            <m:sSubSupPr>
              <m:ctrlPr>
                <w:rPr>
                  <w:rFonts w:ascii="Cambria Math" w:hAnsi="Cambria Math"/>
                </w:rPr>
              </m:ctrlPr>
            </m:sSubSupPr>
            <m:e>
              <m:r>
                <m:rPr>
                  <m:sty m:val="p"/>
                </m:rPr>
                <w:rPr>
                  <w:rFonts w:ascii="Cambria Math" w:hAnsi="Cambria Math"/>
                </w:rPr>
                <m:t>̅</m:t>
              </m:r>
            </m:e>
            <m:sub>
              <m:d>
                <m:dPr>
                  <m:ctrlPr>
                    <w:rPr>
                      <w:rFonts w:ascii="Cambria Math" w:hAnsi="Cambria Math"/>
                    </w:rPr>
                  </m:ctrlPr>
                </m:dPr>
                <m:e>
                  <m:r>
                    <m:rPr>
                      <m:sty m:val="p"/>
                    </m:rPr>
                    <w:rPr>
                      <w:rFonts w:ascii="Cambria Math" w:hAnsi="Cambria Math"/>
                    </w:rPr>
                    <m:t>dd,Néel</m:t>
                  </m:r>
                </m:e>
              </m:d>
            </m:sub>
            <m:sup>
              <m:d>
                <m:dPr>
                  <m:ctrlPr>
                    <w:rPr>
                      <w:rFonts w:ascii="Cambria Math" w:hAnsi="Cambria Math"/>
                    </w:rPr>
                  </m:ctrlPr>
                </m:dPr>
                <m:e>
                  <m:r>
                    <m:rPr>
                      <m:sty m:val="p"/>
                    </m:rPr>
                    <w:rPr>
                      <w:rFonts w:ascii="Cambria Math" w:hAnsi="Cambria Math"/>
                    </w:rPr>
                    <m:t>tip</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d>
                <m:dPr>
                  <m:ctrlPr>
                    <w:rPr>
                      <w:rFonts w:ascii="Cambria Math" w:hAnsi="Cambria Math"/>
                    </w:rPr>
                  </m:ctrlPr>
                </m:dPr>
                <m:e>
                  <m:r>
                    <m:rPr>
                      <m:sty m:val="p"/>
                    </m:rPr>
                    <w:rPr>
                      <w:rFonts w:ascii="Cambria Math" w:hAnsi="Cambria Math"/>
                    </w:rPr>
                    <m:t>block</m:t>
                  </m:r>
                </m:e>
              </m:d>
            </m:sub>
          </m:sSub>
          <m:sSub>
            <m:sSubPr>
              <m:ctrlPr>
                <w:rPr>
                  <w:rFonts w:ascii="Cambria Math" w:hAnsi="Cambria Math"/>
                </w:rPr>
              </m:ctrlPr>
            </m:sSubPr>
            <m:e>
              <m:r>
                <m:rPr>
                  <m:sty m:val="p"/>
                </m:rPr>
                <w:rPr>
                  <w:rFonts w:ascii="Cambria Math" w:hAnsi="Cambria Math"/>
                </w:rPr>
                <m:t>f</m:t>
              </m:r>
            </m:e>
            <m:sub>
              <m:r>
                <m:rPr>
                  <m:sty m:val="p"/>
                </m:rPr>
                <w:rPr>
                  <w:rFonts w:ascii="Cambria Math" w:hAnsi="Cambria Math"/>
                </w:rPr>
                <m:t>B</m:t>
              </m:r>
            </m:sub>
          </m:sSub>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dd,locked</m:t>
                  </m:r>
                </m:e>
              </m:d>
            </m:sub>
            <m:sup>
              <m:d>
                <m:dPr>
                  <m:ctrlPr>
                    <w:rPr>
                      <w:rFonts w:ascii="Cambria Math" w:hAnsi="Cambria Math"/>
                    </w:rPr>
                  </m:ctrlPr>
                </m:dPr>
                <m:e>
                  <m:r>
                    <m:rPr>
                      <m:sty m:val="p"/>
                    </m:rPr>
                    <w:rPr>
                      <w:rFonts w:ascii="Cambria Math" w:hAnsi="Cambria Math"/>
                    </w:rPr>
                    <m:t>tip</m:t>
                  </m:r>
                </m:e>
              </m:d>
            </m:sup>
          </m:sSubSup>
          <m:r>
            <m:rPr>
              <m:sty m:val="p"/>
            </m:rPr>
            <w:rPr>
              <w:rFonts w:ascii="Cambria Math" w:hAnsi="Cambria Math"/>
            </w:rPr>
            <m:t>.</m:t>
          </m:r>
        </m:oMath>
      </m:oMathPara>
    </w:p>
    <w:p w14:paraId="093469E5" w14:textId="3ACF29BF" w:rsidR="001B0B04" w:rsidRDefault="001B0B04" w:rsidP="001B0B04">
      <w:r>
        <w:t>For the face pair, the same rotation would disrupt facet registration and was treated as an energetic constraint. The magnetic energy was</w:t>
      </w:r>
    </w:p>
    <w:p w14:paraId="538D094F" w14:textId="3D1F23A0" w:rsidR="001B0B04" w:rsidRPr="001B0B04" w:rsidRDefault="00000000" w:rsidP="001B0B04">
      <w:pPr>
        <w:keepLines/>
        <w:spacing w:before="60" w:after="140"/>
        <w:jc w:val="center"/>
      </w:pPr>
      <m:oMathPara>
        <m:oMath>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mag</m:t>
                  </m:r>
                </m:e>
              </m:d>
            </m:sub>
            <m:sup>
              <m:d>
                <m:dPr>
                  <m:ctrlPr>
                    <w:rPr>
                      <w:rFonts w:ascii="Cambria Math" w:hAnsi="Cambria Math"/>
                    </w:rPr>
                  </m:ctrlPr>
                </m:dPr>
                <m:e>
                  <m:r>
                    <m:rPr>
                      <m:sty m:val="p"/>
                    </m:rPr>
                    <w:rPr>
                      <w:rFonts w:ascii="Cambria Math" w:hAnsi="Cambria Math"/>
                    </w:rPr>
                    <m:t>face</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dd,eq</m:t>
                  </m:r>
                </m:e>
              </m:d>
            </m:sub>
            <m:sup>
              <m:d>
                <m:dPr>
                  <m:ctrlPr>
                    <w:rPr>
                      <w:rFonts w:ascii="Cambria Math" w:hAnsi="Cambria Math"/>
                    </w:rPr>
                  </m:ctrlPr>
                </m:dPr>
                <m:e>
                  <m:r>
                    <m:rPr>
                      <m:sty m:val="p"/>
                    </m:rPr>
                    <w:rPr>
                      <w:rFonts w:ascii="Cambria Math" w:hAnsi="Cambria Math"/>
                    </w:rPr>
                    <m:t>face</m:t>
                  </m:r>
                </m:e>
              </m:d>
            </m:sup>
          </m:sSubSup>
          <m:r>
            <m:rPr>
              <m:sty m:val="p"/>
            </m:rPr>
            <w:rPr>
              <w:rFonts w:ascii="Cambria Math" w:hAnsi="Cambria Math"/>
            </w:rPr>
            <m:t>+Δ</m:t>
          </m:r>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Néel</m:t>
                  </m:r>
                </m:e>
              </m:d>
            </m:sub>
            <m:sup>
              <m:d>
                <m:dPr>
                  <m:ctrlPr>
                    <w:rPr>
                      <w:rFonts w:ascii="Cambria Math" w:hAnsi="Cambria Math"/>
                    </w:rPr>
                  </m:ctrlPr>
                </m:dPr>
                <m:e>
                  <m:r>
                    <m:rPr>
                      <m:sty m:val="p"/>
                    </m:rPr>
                    <w:rPr>
                      <w:rFonts w:ascii="Cambria Math" w:hAnsi="Cambria Math"/>
                    </w:rPr>
                    <m:t>face</m:t>
                  </m:r>
                </m:e>
              </m:d>
            </m:sup>
          </m:sSubSup>
          <m:r>
            <m:rPr>
              <m:sty m:val="p"/>
            </m:rPr>
            <w:rPr>
              <w:rFonts w:ascii="Cambria Math" w:hAnsi="Cambria Math"/>
            </w:rPr>
            <m:t>+Δ</m:t>
          </m:r>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rot</m:t>
                  </m:r>
                </m:e>
              </m:d>
            </m:sub>
            <m:sup>
              <m:d>
                <m:dPr>
                  <m:ctrlPr>
                    <w:rPr>
                      <w:rFonts w:ascii="Cambria Math" w:hAnsi="Cambria Math"/>
                    </w:rPr>
                  </m:ctrlPr>
                </m:dPr>
                <m:e>
                  <m:r>
                    <m:rPr>
                      <m:sty m:val="p"/>
                    </m:rPr>
                    <w:rPr>
                      <w:rFonts w:ascii="Cambria Math" w:hAnsi="Cambria Math"/>
                    </w:rPr>
                    <m:t>face</m:t>
                  </m:r>
                </m:e>
              </m:d>
            </m:sup>
          </m:sSubSup>
          <m:r>
            <m:rPr>
              <m:sty m:val="p"/>
            </m:rPr>
            <w:rPr>
              <w:rFonts w:ascii="Cambria Math" w:hAnsi="Cambria Math"/>
            </w:rPr>
            <m:t>,</m:t>
          </m:r>
        </m:oMath>
      </m:oMathPara>
    </w:p>
    <w:p w14:paraId="04FD451D" w14:textId="03512B67" w:rsidR="001B0B04" w:rsidRDefault="001B0B04" w:rsidP="001B0B04">
      <w:r>
        <w:t>The Néel term is the finite-time relaxation deficit relative to the canonical 64-state average. The second term</w:t>
      </w:r>
    </w:p>
    <w:p w14:paraId="3BFBF63D" w14:textId="1712912F" w:rsidR="001B0B04" w:rsidRPr="001B0B04" w:rsidRDefault="001B0B04" w:rsidP="001B0B04">
      <w:pPr>
        <w:keepLines/>
        <w:spacing w:before="60" w:after="140"/>
        <w:jc w:val="center"/>
      </w:pPr>
      <m:oMathPara>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rot</m:t>
                  </m:r>
                </m:e>
              </m:d>
            </m:sub>
            <m:sup>
              <m:d>
                <m:dPr>
                  <m:ctrlPr>
                    <w:rPr>
                      <w:rFonts w:ascii="Cambria Math" w:hAnsi="Cambria Math"/>
                    </w:rPr>
                  </m:ctrlPr>
                </m:dPr>
                <m:e>
                  <m:r>
                    <m:rPr>
                      <m:sty m:val="p"/>
                    </m:rPr>
                    <w:rPr>
                      <w:rFonts w:ascii="Cambria Math" w:hAnsi="Cambria Math"/>
                    </w:rPr>
                    <m:t>face</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d>
                <m:dPr>
                  <m:ctrlPr>
                    <w:rPr>
                      <w:rFonts w:ascii="Cambria Math" w:hAnsi="Cambria Math"/>
                    </w:rPr>
                  </m:ctrlPr>
                </m:dPr>
                <m:e>
                  <m:r>
                    <m:rPr>
                      <m:sty m:val="p"/>
                    </m:rPr>
                    <w:rPr>
                      <w:rFonts w:ascii="Cambria Math" w:hAnsi="Cambria Math"/>
                    </w:rPr>
                    <m:t>block</m:t>
                  </m:r>
                </m:e>
              </m:d>
            </m:sub>
          </m:sSub>
          <m:sSub>
            <m:sSubPr>
              <m:ctrlPr>
                <w:rPr>
                  <w:rFonts w:ascii="Cambria Math" w:hAnsi="Cambria Math"/>
                </w:rPr>
              </m:ctrlPr>
            </m:sSubPr>
            <m:e>
              <m:r>
                <m:rPr>
                  <m:sty m:val="p"/>
                </m:rPr>
                <w:rPr>
                  <w:rFonts w:ascii="Cambria Math" w:hAnsi="Cambria Math"/>
                </w:rPr>
                <m:t>f</m:t>
              </m:r>
            </m:e>
            <m:sub>
              <m:r>
                <m:rPr>
                  <m:sty m:val="p"/>
                </m:rPr>
                <w:rPr>
                  <w:rFonts w:ascii="Cambria Math" w:hAnsi="Cambria Math"/>
                </w:rPr>
                <m:t>B</m:t>
              </m:r>
            </m:sub>
          </m:sSub>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dd,locked</m:t>
                      </m:r>
                    </m:e>
                  </m:d>
                </m:sub>
                <m:sup>
                  <m:d>
                    <m:dPr>
                      <m:ctrlPr>
                        <w:rPr>
                          <w:rFonts w:ascii="Cambria Math" w:hAnsi="Cambria Math"/>
                        </w:rPr>
                      </m:ctrlPr>
                    </m:dPr>
                    <m:e>
                      <m:r>
                        <m:rPr>
                          <m:sty m:val="p"/>
                        </m:rPr>
                        <w:rPr>
                          <w:rFonts w:ascii="Cambria Math" w:hAnsi="Cambria Math"/>
                        </w:rPr>
                        <m:t>face</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E</m:t>
                  </m:r>
                </m:e>
                <m:sub>
                  <m:d>
                    <m:dPr>
                      <m:ctrlPr>
                        <w:rPr>
                          <w:rFonts w:ascii="Cambria Math" w:hAnsi="Cambria Math"/>
                        </w:rPr>
                      </m:ctrlPr>
                    </m:dPr>
                    <m:e>
                      <m:r>
                        <m:rPr>
                          <m:sty m:val="p"/>
                        </m:rPr>
                        <w:rPr>
                          <w:rFonts w:ascii="Cambria Math" w:hAnsi="Cambria Math"/>
                        </w:rPr>
                        <m:t>dd,locked</m:t>
                      </m:r>
                    </m:e>
                  </m:d>
                </m:sub>
                <m:sup>
                  <m:d>
                    <m:dPr>
                      <m:ctrlPr>
                        <w:rPr>
                          <w:rFonts w:ascii="Cambria Math" w:hAnsi="Cambria Math"/>
                        </w:rPr>
                      </m:ctrlPr>
                    </m:dPr>
                    <m:e>
                      <m:r>
                        <m:rPr>
                          <m:sty m:val="p"/>
                        </m:rPr>
                        <w:rPr>
                          <w:rFonts w:ascii="Cambria Math" w:hAnsi="Cambria Math"/>
                        </w:rPr>
                        <m:t>tip</m:t>
                      </m:r>
                    </m:e>
                  </m:d>
                </m:sup>
              </m:sSubSup>
            </m:e>
          </m:d>
        </m:oMath>
      </m:oMathPara>
    </w:p>
    <w:p w14:paraId="62C39F24" w14:textId="415DEAC1" w:rsidR="001B0B04" w:rsidRDefault="001B0B04" w:rsidP="001B0B04">
      <w:r>
        <w:t>is the energy reduction lost by preserving face registration. Anisotropy enters through q(T), the Néel barrier, and the blocked fraction. Its common minimum was used as the energy reference, so no separate anisotropy offset was added.</w:t>
      </w:r>
    </w:p>
    <w:p w14:paraId="6CF4F7F9" w14:textId="0CD9EF6A" w:rsidR="001B0B04" w:rsidRDefault="001B0B04" w:rsidP="001B0B04">
      <w:r>
        <w:t>The van der Waals energy was calculated by V6.20 voxel integration with A = 2.0 × 10⁻²⁰ J. This value lies within the reported 9 to 29 zJ range for iron oxide in nonpolar solvents.</w:t>
      </w:r>
      <w:r>
        <w:rPr>
          <w:vertAlign w:val="superscript"/>
        </w:rPr>
        <w:t>7</w:t>
      </w:r>
      <w:r>
        <w:t xml:space="preserve"> The pair energy was</w:t>
      </w:r>
    </w:p>
    <w:p w14:paraId="020E4888" w14:textId="0974CAD7" w:rsidR="001B0B04" w:rsidRPr="001B0B04" w:rsidRDefault="00000000" w:rsidP="001B0B04">
      <w:pPr>
        <w:keepLines/>
        <w:spacing w:before="60" w:after="140"/>
        <w:jc w:val="center"/>
      </w:pPr>
      <m:oMathPara>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vdW</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2</m:t>
                  </m:r>
                </m:sup>
              </m:sSup>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ub>
          </m:sSub>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b</m:t>
                  </m:r>
                </m:sub>
              </m:sSub>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r</m:t>
                  </m:r>
                </m:e>
                <m:sub>
                  <m:d>
                    <m:dPr>
                      <m:ctrlPr>
                        <w:rPr>
                          <w:rFonts w:ascii="Cambria Math" w:hAnsi="Cambria Math"/>
                        </w:rPr>
                      </m:ctrlPr>
                    </m:dPr>
                    <m:e>
                      <m:r>
                        <w:rPr>
                          <w:rFonts w:ascii="Cambria Math" w:hAnsi="Cambria Math"/>
                        </w:rPr>
                        <m:t>ab</m:t>
                      </m:r>
                    </m:e>
                  </m:d>
                </m:sub>
                <m:sup>
                  <m:r>
                    <m:rPr>
                      <m:sty m:val="p"/>
                    </m:rPr>
                    <w:rPr>
                      <w:rFonts w:ascii="Cambria Math" w:hAnsi="Cambria Math"/>
                    </w:rPr>
                    <m:t>6</m:t>
                  </m:r>
                </m:sup>
              </m:sSubSup>
            </m:e>
          </m:d>
          <m:r>
            <m:rPr>
              <m:sty m:val="p"/>
            </m:rPr>
            <w:rPr>
              <w:rFonts w:ascii="Cambria Math" w:hAnsi="Cambria Math"/>
            </w:rPr>
            <m:t>.</m:t>
          </m:r>
        </m:oMath>
      </m:oMathPara>
    </w:p>
    <w:p w14:paraId="02E5E1E2" w14:textId="6B89791E" w:rsidR="001B0B04" w:rsidRDefault="001B0B04" w:rsidP="001B0B04">
      <w:r>
        <w:t>The face and tip van der Waals energies were −4.88 × 10⁻²¹ and −2.45 × 10⁻²² J per pair. Only the face term was plotted. At 300 K, the face and tip magnetic energies were −2.21 × 10⁻²⁰ and −4.58 × 10⁻²¹ J. The blocked fraction rose from 1.15 × 10⁻⁶ at 300 K to 0.819 at 250 K and 0.9996 at 200 K. Cooling stabilized the tip pair and increased the cost of retaining face registration. The magnetic curves crossed at 253.6 K. Including van der Waals attraction moved the total pair-energy crossing to 247.8 K. At 200 K, the plotted face energy was +1.14 × 10⁻²⁰ J, while its direct dipolar term was −2.70 × 10⁻²² J. The positive value is the constraint penalty, not dipolar repulsion.</w:t>
      </w:r>
    </w:p>
    <w:p w14:paraId="3B01386C" w14:textId="0E6FBCBD" w:rsidR="001B0B04" w:rsidRDefault="001B0B04" w:rsidP="001B0B04">
      <w:r>
        <w:t>These crossings describe a finite-time pair-energy crossover, not a thermodynamic phase boundary. The model assumes that a pair has already formed and does not predict colloidal encounter or room-temperature aggregation. It omits ligand rearrangement, contact friction, entropy, concentration, and many-particle coordination. The CV = 0 baseline should be replaced by the measured TEM size distribution. Smooth curves were obtained by shape-preserving interpolation of values calculated every 10 K.</w:t>
      </w:r>
    </w:p>
    <w:p w14:paraId="27021EC9" w14:textId="77777777" w:rsidR="001B0B04" w:rsidRPr="001B0B04" w:rsidRDefault="001B0B04" w:rsidP="001B0B04">
      <w:pPr>
        <w:keepNext/>
        <w:spacing w:before="180" w:after="80"/>
      </w:pPr>
      <w:r>
        <w:rPr>
          <w:b/>
          <w:sz w:val="24"/>
        </w:rPr>
        <w:lastRenderedPageBreak/>
        <w:t>References</w:t>
      </w:r>
    </w:p>
    <w:p w14:paraId="65FF24E5" w14:textId="77777777" w:rsidR="00014554" w:rsidRDefault="00000000">
      <w:pPr>
        <w:spacing w:after="60"/>
        <w:ind w:left="360" w:hanging="360"/>
      </w:pPr>
      <w:r>
        <w:t>2. Moreno, R.; Poyser, S.; Meilak, D.; Meo, A.; Jenkins, S.; Lazarov, V. K.; Vallejo-Fernandez, G.; Majetich, S.; Evans, R. F. L. The Role of Faceting and Elongation on the Magnetic Anisotropy of Magnetite Fe₃O₄ Nanocrystals. Sci. Rep. 2020, 10, 2722. https://doi.org/10.1038/s41598-020-58976-7.</w:t>
      </w:r>
    </w:p>
    <w:p w14:paraId="0837542A" w14:textId="77777777" w:rsidR="00014554" w:rsidRDefault="00000000">
      <w:pPr>
        <w:spacing w:after="60"/>
        <w:ind w:left="360" w:hanging="360"/>
      </w:pPr>
      <w:r>
        <w:t>3. Moreno, R.; Jenkins, S.; Williams, W.; Evans, R. F. L. Atomistic Calculation of the τ₀ Inverse Attempt Frequency in Fe₃O₄ Magnetite Nanoparticles. Phys. Rev. B 2025, 112, 024429. https://doi.org/10.1103/vmwp-q427.</w:t>
      </w:r>
    </w:p>
    <w:p w14:paraId="4DA4831C" w14:textId="77777777" w:rsidR="00014554" w:rsidRDefault="00000000">
      <w:pPr>
        <w:spacing w:after="60"/>
        <w:ind w:left="360" w:hanging="360"/>
      </w:pPr>
      <w:r>
        <w:t>4. Néel, L. Théorie du Traînage Magnétique des Ferromagnétiques en Grains Fins avec Applications aux Terres Cuites. Ann. Géophys. 1949, 5, 99-136.</w:t>
      </w:r>
    </w:p>
    <w:p w14:paraId="3B469753" w14:textId="77777777" w:rsidR="00014554" w:rsidRDefault="00000000">
      <w:pPr>
        <w:spacing w:after="60"/>
        <w:ind w:left="360" w:hanging="360"/>
      </w:pPr>
      <w:r>
        <w:t>5. Brown, W. F., Jr. Thermal Fluctuations of a Single-Domain Particle. Phys. Rev. 1963, 130, 1677-1686. https://doi.org/10.1103/PhysRev.130.1677.</w:t>
      </w:r>
    </w:p>
    <w:p w14:paraId="1E280FF0" w14:textId="77777777" w:rsidR="00014554" w:rsidRDefault="00000000">
      <w:pPr>
        <w:spacing w:after="60"/>
        <w:ind w:left="360" w:hanging="360"/>
      </w:pPr>
      <w:r>
        <w:t>6. Michailidou, E. K.; Assael, M. J.; Huber, M. L.; Perkins, R. A. Reference Correlation of the Viscosity of n-Hexane from the Triple Point to 600 K and up to 100 MPa. J. Phys. Chem. Ref. Data 2013, 42, 033104. https://doi.org/10.1063/1.4818980.</w:t>
      </w:r>
    </w:p>
    <w:p w14:paraId="01F83A4A" w14:textId="77777777" w:rsidR="00014554" w:rsidRDefault="00000000">
      <w:pPr>
        <w:spacing w:after="60"/>
        <w:ind w:left="360" w:hanging="360"/>
      </w:pPr>
      <w:r>
        <w:t>7. Faure, B.; Salazar-Alvarez, G.; Bergstrom, L. Hamaker Constants of Iron Oxide Nanoparticles. Langmuir 2011, 27, 8659-8664. https://doi.org/10.1021/la201387d.</w:t>
      </w:r>
    </w:p>
    <w:sectPr w:rsidR="00014554" w:rsidSect="001B0B04">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DE829" w14:textId="77777777" w:rsidR="00A22A57" w:rsidRDefault="00A22A57" w:rsidP="001B0B04">
      <w:pPr>
        <w:spacing w:after="0" w:line="240" w:lineRule="auto"/>
      </w:pPr>
      <w:r>
        <w:separator/>
      </w:r>
    </w:p>
  </w:endnote>
  <w:endnote w:type="continuationSeparator" w:id="0">
    <w:p w14:paraId="205C6386" w14:textId="77777777" w:rsidR="00A22A57" w:rsidRDefault="00A22A57" w:rsidP="001B0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E45B" w14:textId="77777777" w:rsidR="001B0B04" w:rsidRDefault="001B0B04">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5102" w14:textId="7047B410" w:rsidR="001B0B04" w:rsidRPr="001B0B04" w:rsidRDefault="001B0B04" w:rsidP="001B0B04">
    <w:pPr>
      <w:pStyle w:val="af0"/>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09D6" w14:textId="77777777" w:rsidR="001B0B04" w:rsidRDefault="001B0B0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143CB" w14:textId="77777777" w:rsidR="00A22A57" w:rsidRDefault="00A22A57" w:rsidP="001B0B04">
      <w:pPr>
        <w:spacing w:after="0" w:line="240" w:lineRule="auto"/>
      </w:pPr>
      <w:r>
        <w:separator/>
      </w:r>
    </w:p>
  </w:footnote>
  <w:footnote w:type="continuationSeparator" w:id="0">
    <w:p w14:paraId="765B1C8B" w14:textId="77777777" w:rsidR="00A22A57" w:rsidRDefault="00A22A57" w:rsidP="001B0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03CF" w14:textId="77777777" w:rsidR="001B0B04" w:rsidRDefault="001B0B04">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3E5E" w14:textId="77777777" w:rsidR="001B0B04" w:rsidRDefault="001B0B04">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EF27" w14:textId="77777777" w:rsidR="001B0B04" w:rsidRDefault="001B0B04">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B04"/>
    <w:rsid w:val="00014554"/>
    <w:rsid w:val="001B0B04"/>
    <w:rsid w:val="002C4F2F"/>
    <w:rsid w:val="00326F6B"/>
    <w:rsid w:val="00A22A57"/>
    <w:rsid w:val="00A95C5B"/>
    <w:rsid w:val="00B00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B227E"/>
  <w15:chartTrackingRefBased/>
  <w15:docId w15:val="{EEFE239F-0E4F-4446-BB85-61451968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92" w:lineRule="auto"/>
      <w:jc w:val="both"/>
    </w:pPr>
    <w:rPr>
      <w:rFonts w:ascii="Times New Roman" w:hAnsi="Times New Roman" w:cs="Times New Roman"/>
      <w:color w:val="000000"/>
      <w:sz w:val="22"/>
    </w:rPr>
  </w:style>
  <w:style w:type="paragraph" w:styleId="1">
    <w:name w:val="heading 1"/>
    <w:basedOn w:val="a"/>
    <w:next w:val="a"/>
    <w:link w:val="10"/>
    <w:uiPriority w:val="9"/>
    <w:qFormat/>
    <w:rsid w:val="001B0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B0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B0B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0B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0B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0B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0B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0B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0B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0B0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1B0B0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1B0B0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1B0B04"/>
    <w:rPr>
      <w:rFonts w:eastAsiaTheme="majorEastAsia" w:cstheme="majorBidi"/>
      <w:i/>
      <w:iCs/>
      <w:color w:val="0F4761" w:themeColor="accent1" w:themeShade="BF"/>
    </w:rPr>
  </w:style>
  <w:style w:type="character" w:customStyle="1" w:styleId="50">
    <w:name w:val="标题 5 字符"/>
    <w:basedOn w:val="a0"/>
    <w:link w:val="5"/>
    <w:uiPriority w:val="9"/>
    <w:semiHidden/>
    <w:rsid w:val="001B0B04"/>
    <w:rPr>
      <w:rFonts w:eastAsiaTheme="majorEastAsia" w:cstheme="majorBidi"/>
      <w:color w:val="0F4761" w:themeColor="accent1" w:themeShade="BF"/>
    </w:rPr>
  </w:style>
  <w:style w:type="character" w:customStyle="1" w:styleId="60">
    <w:name w:val="标题 6 字符"/>
    <w:basedOn w:val="a0"/>
    <w:link w:val="6"/>
    <w:uiPriority w:val="9"/>
    <w:semiHidden/>
    <w:rsid w:val="001B0B04"/>
    <w:rPr>
      <w:rFonts w:eastAsiaTheme="majorEastAsia" w:cstheme="majorBidi"/>
      <w:i/>
      <w:iCs/>
      <w:color w:val="595959" w:themeColor="text1" w:themeTint="A6"/>
    </w:rPr>
  </w:style>
  <w:style w:type="character" w:customStyle="1" w:styleId="70">
    <w:name w:val="标题 7 字符"/>
    <w:basedOn w:val="a0"/>
    <w:link w:val="7"/>
    <w:uiPriority w:val="9"/>
    <w:semiHidden/>
    <w:rsid w:val="001B0B04"/>
    <w:rPr>
      <w:rFonts w:eastAsiaTheme="majorEastAsia" w:cstheme="majorBidi"/>
      <w:color w:val="595959" w:themeColor="text1" w:themeTint="A6"/>
    </w:rPr>
  </w:style>
  <w:style w:type="character" w:customStyle="1" w:styleId="80">
    <w:name w:val="标题 8 字符"/>
    <w:basedOn w:val="a0"/>
    <w:link w:val="8"/>
    <w:uiPriority w:val="9"/>
    <w:semiHidden/>
    <w:rsid w:val="001B0B04"/>
    <w:rPr>
      <w:rFonts w:eastAsiaTheme="majorEastAsia" w:cstheme="majorBidi"/>
      <w:i/>
      <w:iCs/>
      <w:color w:val="272727" w:themeColor="text1" w:themeTint="D8"/>
    </w:rPr>
  </w:style>
  <w:style w:type="character" w:customStyle="1" w:styleId="90">
    <w:name w:val="标题 9 字符"/>
    <w:basedOn w:val="a0"/>
    <w:link w:val="9"/>
    <w:uiPriority w:val="9"/>
    <w:semiHidden/>
    <w:rsid w:val="001B0B04"/>
    <w:rPr>
      <w:rFonts w:eastAsiaTheme="majorEastAsia" w:cstheme="majorBidi"/>
      <w:color w:val="272727" w:themeColor="text1" w:themeTint="D8"/>
    </w:rPr>
  </w:style>
  <w:style w:type="paragraph" w:styleId="a3">
    <w:name w:val="Title"/>
    <w:basedOn w:val="a"/>
    <w:next w:val="a"/>
    <w:link w:val="a4"/>
    <w:uiPriority w:val="10"/>
    <w:qFormat/>
    <w:rsid w:val="001B0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0B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0B0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B0B0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0B04"/>
    <w:pPr>
      <w:spacing w:before="160"/>
      <w:jc w:val="center"/>
    </w:pPr>
    <w:rPr>
      <w:i/>
      <w:iCs/>
      <w:color w:val="404040" w:themeColor="text1" w:themeTint="BF"/>
    </w:rPr>
  </w:style>
  <w:style w:type="character" w:customStyle="1" w:styleId="a8">
    <w:name w:val="引用 字符"/>
    <w:basedOn w:val="a0"/>
    <w:link w:val="a7"/>
    <w:uiPriority w:val="29"/>
    <w:rsid w:val="001B0B04"/>
    <w:rPr>
      <w:i/>
      <w:iCs/>
      <w:color w:val="404040" w:themeColor="text1" w:themeTint="BF"/>
    </w:rPr>
  </w:style>
  <w:style w:type="paragraph" w:styleId="a9">
    <w:name w:val="List Paragraph"/>
    <w:basedOn w:val="a"/>
    <w:uiPriority w:val="34"/>
    <w:qFormat/>
    <w:rsid w:val="001B0B04"/>
    <w:pPr>
      <w:ind w:left="720"/>
      <w:contextualSpacing/>
    </w:pPr>
  </w:style>
  <w:style w:type="character" w:styleId="aa">
    <w:name w:val="Intense Emphasis"/>
    <w:basedOn w:val="a0"/>
    <w:uiPriority w:val="21"/>
    <w:qFormat/>
    <w:rsid w:val="001B0B04"/>
    <w:rPr>
      <w:i/>
      <w:iCs/>
      <w:color w:val="0F4761" w:themeColor="accent1" w:themeShade="BF"/>
    </w:rPr>
  </w:style>
  <w:style w:type="paragraph" w:styleId="ab">
    <w:name w:val="Intense Quote"/>
    <w:basedOn w:val="a"/>
    <w:next w:val="a"/>
    <w:link w:val="ac"/>
    <w:uiPriority w:val="30"/>
    <w:qFormat/>
    <w:rsid w:val="001B0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0B04"/>
    <w:rPr>
      <w:i/>
      <w:iCs/>
      <w:color w:val="0F4761" w:themeColor="accent1" w:themeShade="BF"/>
    </w:rPr>
  </w:style>
  <w:style w:type="character" w:styleId="ad">
    <w:name w:val="Intense Reference"/>
    <w:basedOn w:val="a0"/>
    <w:uiPriority w:val="32"/>
    <w:qFormat/>
    <w:rsid w:val="001B0B04"/>
    <w:rPr>
      <w:b/>
      <w:bCs/>
      <w:smallCaps/>
      <w:color w:val="0F4761" w:themeColor="accent1" w:themeShade="BF"/>
      <w:spacing w:val="5"/>
    </w:rPr>
  </w:style>
  <w:style w:type="paragraph" w:styleId="ae">
    <w:name w:val="header"/>
    <w:basedOn w:val="a"/>
    <w:link w:val="af"/>
    <w:uiPriority w:val="99"/>
    <w:unhideWhenUsed/>
    <w:rsid w:val="001B0B04"/>
    <w:pPr>
      <w:tabs>
        <w:tab w:val="center" w:pos="4680"/>
        <w:tab w:val="right" w:pos="9360"/>
      </w:tabs>
      <w:spacing w:after="0" w:line="240" w:lineRule="auto"/>
    </w:pPr>
  </w:style>
  <w:style w:type="character" w:customStyle="1" w:styleId="af">
    <w:name w:val="页眉 字符"/>
    <w:basedOn w:val="a0"/>
    <w:link w:val="ae"/>
    <w:uiPriority w:val="99"/>
    <w:rsid w:val="001B0B04"/>
    <w:rPr>
      <w:rFonts w:ascii="Times New Roman" w:hAnsi="Times New Roman" w:cs="Times New Roman"/>
      <w:color w:val="000000"/>
      <w:sz w:val="22"/>
    </w:rPr>
  </w:style>
  <w:style w:type="paragraph" w:styleId="af0">
    <w:name w:val="footer"/>
    <w:basedOn w:val="a"/>
    <w:link w:val="af1"/>
    <w:uiPriority w:val="99"/>
    <w:unhideWhenUsed/>
    <w:rsid w:val="001B0B04"/>
    <w:pPr>
      <w:tabs>
        <w:tab w:val="center" w:pos="4680"/>
        <w:tab w:val="right" w:pos="9360"/>
      </w:tabs>
      <w:spacing w:after="0" w:line="240" w:lineRule="auto"/>
    </w:pPr>
  </w:style>
  <w:style w:type="character" w:customStyle="1" w:styleId="af1">
    <w:name w:val="页脚 字符"/>
    <w:basedOn w:val="a0"/>
    <w:link w:val="af0"/>
    <w:uiPriority w:val="99"/>
    <w:rsid w:val="001B0B04"/>
    <w:rPr>
      <w:rFonts w:ascii="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986</Words>
  <Characters>5624</Characters>
  <Application>Microsoft Office Word</Application>
  <DocSecurity>0</DocSecurity>
  <Lines>46</Lines>
  <Paragraphs>13</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Temperature-Dependent Pair-Energy Model</dc:title>
  <dc:subject>Concise JACS Supporting Information for the 20 s pair-energy model</dc:subject>
  <dc:creator>Zehan Mi</dc:creator>
  <cp:keywords/>
  <dc:description>Concise revision with formulas, values, and references retained.</dc:description>
  <cp:lastModifiedBy>Zehan Mi</cp:lastModifiedBy>
  <cp:revision>2</cp:revision>
  <dcterms:created xsi:type="dcterms:W3CDTF">2026-08-19T11:37:00Z</dcterms:created>
  <dcterms:modified xsi:type="dcterms:W3CDTF">2026-08-28T15:48:00Z</dcterms:modified>
</cp:coreProperties>
</file>