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BC44AA" w14:textId="0F6B5C64" w:rsidR="00EF03D4" w:rsidRPr="00EF03D4" w:rsidRDefault="005467CA" w:rsidP="009B69B6">
      <w:pPr>
        <w:rPr>
          <w:b/>
          <w:bCs/>
        </w:rPr>
      </w:pPr>
      <w:r w:rsidRPr="00EF03D4">
        <w:rPr>
          <w:rFonts w:hint="eastAsia"/>
          <w:b/>
          <w:bCs/>
        </w:rPr>
        <w:t>主标题：</w:t>
      </w:r>
    </w:p>
    <w:p w14:paraId="38B9BC37" w14:textId="79814A51" w:rsidR="00B15479" w:rsidRDefault="001248A6" w:rsidP="00EF03D4">
      <w:r w:rsidRPr="001248A6">
        <w:t>上市公司综合服务</w:t>
      </w:r>
    </w:p>
    <w:p w14:paraId="08375011" w14:textId="77777777" w:rsidR="001248A6" w:rsidRDefault="001248A6" w:rsidP="00EF03D4">
      <w:pPr>
        <w:rPr>
          <w:b/>
          <w:bCs/>
        </w:rPr>
      </w:pPr>
    </w:p>
    <w:p w14:paraId="65BBC571" w14:textId="54730FBB" w:rsidR="00EF03D4" w:rsidRPr="00EF03D4" w:rsidRDefault="00EF03D4" w:rsidP="00EF03D4">
      <w:pPr>
        <w:rPr>
          <w:b/>
          <w:bCs/>
        </w:rPr>
      </w:pPr>
      <w:r w:rsidRPr="00EF03D4">
        <w:rPr>
          <w:rFonts w:hint="eastAsia"/>
          <w:b/>
          <w:bCs/>
        </w:rPr>
        <w:t>小标题：</w:t>
      </w:r>
    </w:p>
    <w:p w14:paraId="1D7FB4D3" w14:textId="414BB77A" w:rsidR="00065B97" w:rsidRPr="00065B97" w:rsidRDefault="00A97AF4" w:rsidP="001248A6">
      <w:r>
        <w:rPr>
          <w:rFonts w:hint="eastAsia"/>
        </w:rPr>
        <w:t>独立</w:t>
      </w:r>
      <w:r w:rsidR="001248A6" w:rsidRPr="001248A6">
        <w:t>负责</w:t>
      </w:r>
      <w:r w:rsidR="001248A6">
        <w:rPr>
          <w:rFonts w:hint="eastAsia"/>
        </w:rPr>
        <w:t>航天彩虹无人机股份有限公司</w:t>
      </w:r>
      <w:r w:rsidR="001248A6" w:rsidRPr="001248A6">
        <w:rPr>
          <w:rFonts w:hint="eastAsia"/>
        </w:rPr>
        <w:t>股</w:t>
      </w:r>
      <w:r w:rsidR="001248A6" w:rsidRPr="001248A6">
        <w:t>份转托管项目，完成第二大股东35亿元股份高效转托管；协同推动</w:t>
      </w:r>
      <w:r w:rsidR="004B6D5C">
        <w:rPr>
          <w:rFonts w:hint="eastAsia"/>
        </w:rPr>
        <w:t>中信</w:t>
      </w:r>
      <w:r w:rsidR="001248A6" w:rsidRPr="001248A6">
        <w:t>集团股权投资计划，新增7000万元授信额度，优化客户资本结构。</w:t>
      </w:r>
    </w:p>
    <w:p w14:paraId="1EA7C632" w14:textId="77777777" w:rsidR="001248A6" w:rsidRDefault="001248A6" w:rsidP="00EF03D4">
      <w:pPr>
        <w:rPr>
          <w:b/>
          <w:bCs/>
        </w:rPr>
      </w:pPr>
    </w:p>
    <w:p w14:paraId="3C417531" w14:textId="79C53C50" w:rsidR="00EF03D4" w:rsidRDefault="00EF03D4" w:rsidP="00EF03D4">
      <w:pPr>
        <w:rPr>
          <w:b/>
          <w:bCs/>
        </w:rPr>
      </w:pPr>
      <w:r w:rsidRPr="00EF03D4">
        <w:rPr>
          <w:rFonts w:hint="eastAsia"/>
          <w:b/>
          <w:bCs/>
        </w:rPr>
        <w:t>正文（二级界面）：</w:t>
      </w:r>
    </w:p>
    <w:p w14:paraId="0AAFE7FE" w14:textId="77777777" w:rsidR="009E49C4" w:rsidRDefault="009E49C4" w:rsidP="00EF03D4">
      <w:pPr>
        <w:rPr>
          <w:b/>
          <w:bCs/>
        </w:rPr>
      </w:pPr>
    </w:p>
    <w:p w14:paraId="75583954" w14:textId="0B7250EA" w:rsidR="009E49C4" w:rsidRPr="009E49C4" w:rsidRDefault="00A97AF4" w:rsidP="009E49C4">
      <w:pPr>
        <w:jc w:val="center"/>
        <w:rPr>
          <w:rFonts w:ascii="黑体" w:eastAsia="黑体" w:hAnsi="黑体"/>
          <w:b/>
          <w:bCs/>
          <w:sz w:val="44"/>
          <w:szCs w:val="44"/>
        </w:rPr>
      </w:pPr>
      <w:r>
        <w:rPr>
          <w:rFonts w:ascii="黑体" w:eastAsia="黑体" w:hAnsi="黑体" w:hint="eastAsia"/>
          <w:b/>
          <w:bCs/>
          <w:sz w:val="44"/>
          <w:szCs w:val="44"/>
        </w:rPr>
        <w:t>独立</w:t>
      </w:r>
      <w:r w:rsidR="009E49C4" w:rsidRPr="009E49C4">
        <w:rPr>
          <w:rFonts w:ascii="黑体" w:eastAsia="黑体" w:hAnsi="黑体"/>
          <w:b/>
          <w:bCs/>
          <w:sz w:val="44"/>
          <w:szCs w:val="44"/>
        </w:rPr>
        <w:t>负责航天彩虹无人机股份有限公司股份转托管项目，完成第二大股东35亿元股份高效转托管；协同推动中信集团股权投资计划，新增7000万元授信额度，优化客户资本结构</w:t>
      </w:r>
    </w:p>
    <w:p w14:paraId="3C01D23E" w14:textId="77777777" w:rsidR="00BA1DA6" w:rsidRPr="00BA1DA6" w:rsidRDefault="00BA1DA6" w:rsidP="00BA1DA6">
      <w:pPr>
        <w:jc w:val="center"/>
        <w:rPr>
          <w:rFonts w:ascii="黑体" w:eastAsia="黑体" w:hAnsi="黑体"/>
          <w:b/>
          <w:bCs/>
          <w:sz w:val="44"/>
          <w:szCs w:val="44"/>
        </w:rPr>
      </w:pPr>
    </w:p>
    <w:p w14:paraId="1017D377" w14:textId="77777777" w:rsidR="009E49C4" w:rsidRPr="009E49C4" w:rsidRDefault="009E49C4" w:rsidP="009E49C4">
      <w:pPr>
        <w:spacing w:line="560" w:lineRule="exact"/>
        <w:ind w:firstLineChars="200" w:firstLine="440"/>
      </w:pPr>
      <w:r w:rsidRPr="009E49C4">
        <w:t>航天彩虹无人机股份有限公司综合服务项目，是本人在服务国有控股上市公司、军工行业重点客户和大型机构股东过程中，充分体现政治判断力、政治领悟力、政治执行力和综合运筹能力的重要项目。该项目以航天彩虹第二大股东所持约35亿元上市公司股份转托管为切入点，进一步延伸至中信集团股权投资计划协同、授信额度新增、资本结构优化和长期综合金融服务关系建设，涉及上市公司股东服务、国有资本协同、军工行业客户维护、大额证券资产迁移、授信资源协调和集团体系联动等多个关键环节。</w:t>
      </w:r>
    </w:p>
    <w:p w14:paraId="7D1838B2" w14:textId="77777777" w:rsidR="009E49C4" w:rsidRPr="009E49C4" w:rsidRDefault="009E49C4" w:rsidP="009E49C4">
      <w:pPr>
        <w:spacing w:line="560" w:lineRule="exact"/>
        <w:ind w:firstLineChars="200" w:firstLine="440"/>
      </w:pPr>
      <w:r w:rsidRPr="009E49C4">
        <w:t>与一般上市公司客户不同，航天彩虹所处行业具有鲜明的战略属性和敏感属性。</w:t>
      </w:r>
      <w:r w:rsidRPr="009E49C4">
        <w:lastRenderedPageBreak/>
        <w:t>其客户背景既体现国有控股上市公司的规范化治理特征，也具有军工产业链企业在信息安全、资本稳定、股东关系、资产流转和外部合作方面的特殊要求。因此，该项目不能简单按照普通客户服务逻辑推进，而必须从政治站位、合规边界、保密意识、风险防控、组织协调和长期战略合作等多个维度进行系统谋划。</w:t>
      </w:r>
    </w:p>
    <w:p w14:paraId="2543F4E9" w14:textId="77777777" w:rsidR="009E49C4" w:rsidRPr="009E49C4" w:rsidRDefault="009E49C4" w:rsidP="009E49C4">
      <w:pPr>
        <w:spacing w:line="560" w:lineRule="exact"/>
        <w:ind w:firstLineChars="200" w:firstLine="440"/>
      </w:pPr>
      <w:r w:rsidRPr="009E49C4">
        <w:t>在项目推进过程中，本人始终坚持将政治能力贯穿于业务全过程。一方面，准确理解服务国有控股上市公司和军工行业客户的特殊要求，坚持以安全、稳定、规范、审慎为基本原则，确保项目所有环节均在合规和风险可控框架内推进；另一方面，围绕客户核心诉求和集团综合服务能力，统筹证券托管、授信支持、股权投资计划、客户关系维护和后续资本结构优化等多项工作，推动项目从单一业务办理升级为上市公司重要股东综合金融服务方案。</w:t>
      </w:r>
    </w:p>
    <w:p w14:paraId="3B174604" w14:textId="77777777" w:rsidR="009E49C4" w:rsidRPr="009E49C4" w:rsidRDefault="009E49C4" w:rsidP="009E49C4">
      <w:pPr>
        <w:spacing w:line="560" w:lineRule="exact"/>
        <w:ind w:firstLineChars="200" w:firstLine="440"/>
      </w:pPr>
      <w:r w:rsidRPr="009E49C4">
        <w:t>最终，本人成功推动第二大股东约35亿元股份高效转托管，协同推动中信集团股权投资计划相关事项，并新增7000万元授信额度，为客户盘活资产价值、优化资本结构、增强资金调度能力和深化与中信体系合作奠定了坚实基础。该项目充分证明，本人不仅具备处理大额证券资产服务事项的专业能力，更具备面对国有控股、军工属性、重点上市公司客户时所需要的政治敏感性、风险识别力、组织协调力和综合运筹能力。</w:t>
      </w:r>
    </w:p>
    <w:p w14:paraId="06E5EA36" w14:textId="77777777" w:rsidR="009E49C4" w:rsidRPr="009E49C4" w:rsidRDefault="009E49C4" w:rsidP="009E49C4">
      <w:pPr>
        <w:spacing w:line="560" w:lineRule="exact"/>
        <w:ind w:firstLineChars="200" w:firstLine="440"/>
        <w:rPr>
          <w:b/>
          <w:bCs/>
        </w:rPr>
      </w:pPr>
      <w:r w:rsidRPr="009E49C4">
        <w:rPr>
          <w:b/>
          <w:bCs/>
        </w:rPr>
        <w:t>一、提高政治站位，准确把握国有控股上市公司与军工行业客户服务的特殊要求</w:t>
      </w:r>
    </w:p>
    <w:p w14:paraId="3D56DC87" w14:textId="77777777" w:rsidR="009E49C4" w:rsidRPr="009E49C4" w:rsidRDefault="009E49C4" w:rsidP="009E49C4">
      <w:pPr>
        <w:spacing w:line="560" w:lineRule="exact"/>
        <w:ind w:firstLineChars="200" w:firstLine="440"/>
      </w:pPr>
      <w:r w:rsidRPr="009E49C4">
        <w:t>项目启动之初，本人首先认识到，该项目的关键并不只是完成一笔股份转托管业务，而是要在服务国有控股上市公司和军工行业重点客户的过程中，体现对客户属性、行业属性和资本属性的准确把握。航天彩虹作为具有国有控股背景和军工行业属性的上市公司，其股东结构、资本运作、股份流转和外部金融合作均具有较高敏感度。对于此类客户，金融服务机构不仅要提供专业高效的业务支持，更要具备清醒的政治意识、审慎的服务边界和严密的风险控制能力。</w:t>
      </w:r>
    </w:p>
    <w:p w14:paraId="485708C0" w14:textId="77777777" w:rsidR="009E49C4" w:rsidRPr="009E49C4" w:rsidRDefault="009E49C4" w:rsidP="009E49C4">
      <w:pPr>
        <w:spacing w:line="560" w:lineRule="exact"/>
        <w:ind w:firstLineChars="200" w:firstLine="440"/>
      </w:pPr>
      <w:r w:rsidRPr="009E49C4">
        <w:lastRenderedPageBreak/>
        <w:t>因此，本人在项目前期即将工作原则明确为四个方面：一是坚持安全优先，所有业务推进均以股份安全、账户安全、信息安全和流程安全为前提；二是坚持合规先行，凡涉及上市公司股份、重要股东、授信安排和股权投资计划的事项，均严格按照监管规则、公司制度和客户授权边界推进；三是坚持保密审慎，对于客户股东身份、持股规模、资本安排、资金需求等敏感信息，严格控制知悉范围，避免信息在不必要层级扩散；四是坚持稳中求进，在保障项目稳定推进的基础上，逐步拓展授信、投资计划和综合服务合作空间。</w:t>
      </w:r>
    </w:p>
    <w:p w14:paraId="4DF78232" w14:textId="77777777" w:rsidR="009E49C4" w:rsidRPr="009E49C4" w:rsidRDefault="009E49C4" w:rsidP="009E49C4">
      <w:pPr>
        <w:spacing w:line="560" w:lineRule="exact"/>
        <w:ind w:firstLineChars="200" w:firstLine="440"/>
      </w:pPr>
      <w:r w:rsidRPr="009E49C4">
        <w:t>这一政治站位的确立，使本人在项目推进中避免了单纯追求业务速度和短期结果的倾向，而是将工作重心放在“既要高效完成客户事项，又要确保敏感客户服务稳妥合规”上。例如，在推进35亿元股份转托管前，本人没有急于进入操作环节，而是先围绕客户主体身份、股份状态、账户路径、内部审批、风险事项和信息传递边界进行系统梳理，确保后续每一步都有依据、有流程、有记录、有反馈。该做法有效降低了大额股份转托管过程中可能出现的操作风险和沟通风险。</w:t>
      </w:r>
    </w:p>
    <w:p w14:paraId="2B4A86D7" w14:textId="77777777" w:rsidR="009E49C4" w:rsidRPr="009E49C4" w:rsidRDefault="009E49C4" w:rsidP="009E49C4">
      <w:pPr>
        <w:spacing w:line="560" w:lineRule="exact"/>
        <w:ind w:firstLineChars="200" w:firstLine="440"/>
        <w:rPr>
          <w:b/>
          <w:bCs/>
        </w:rPr>
      </w:pPr>
      <w:r w:rsidRPr="009E49C4">
        <w:rPr>
          <w:b/>
          <w:bCs/>
        </w:rPr>
        <w:t>二、强化底线思维，围绕35亿元股份转托管建立全流程风险防控机制</w:t>
      </w:r>
    </w:p>
    <w:p w14:paraId="6523B54D" w14:textId="77777777" w:rsidR="009E49C4" w:rsidRPr="009E49C4" w:rsidRDefault="009E49C4" w:rsidP="009E49C4">
      <w:pPr>
        <w:spacing w:line="560" w:lineRule="exact"/>
        <w:ind w:firstLineChars="200" w:firstLine="440"/>
      </w:pPr>
      <w:r w:rsidRPr="009E49C4">
        <w:t>35亿元股份转托管是该项目的核心任务，也是最能体现项目复杂度和敏感度的关键环节。对于上市公司第二大股东而言，其所持股份不仅是证券资产，更是与上市公司治理、股东稳定、资本安排和市场预期密切相关的重要资产。特别是在军工行业和国有控股上市公司背景下，股份转托管工作必须做到稳妥、精准、可控，不能出现材料错误、账户差错、流程中断、信息泄露或客户误解。</w:t>
      </w:r>
    </w:p>
    <w:p w14:paraId="25EF4AF4" w14:textId="77777777" w:rsidR="009E49C4" w:rsidRPr="009E49C4" w:rsidRDefault="009E49C4" w:rsidP="009E49C4">
      <w:pPr>
        <w:spacing w:line="560" w:lineRule="exact"/>
        <w:ind w:firstLineChars="200" w:firstLine="440"/>
      </w:pPr>
      <w:r w:rsidRPr="009E49C4">
        <w:t>针对这一情况，本人以“底线思维+流程管理”的方式推动项目落地。首先，在业务启动前，本人将转托管工作拆解为客户资料核验、证券账户确认、股份状态排查、原托管关系沟通、目标托管路径确认、内部流程发起、转托管指令执行、结果反馈确认、后续服务衔接九个环节。每一环节均设置具体任务、责任节点和反馈要求，确保</w:t>
      </w:r>
      <w:r w:rsidRPr="009E49C4">
        <w:lastRenderedPageBreak/>
        <w:t>项目不是依靠经验推动，而是依靠标准化流程稳步推进。</w:t>
      </w:r>
    </w:p>
    <w:p w14:paraId="681B2F68" w14:textId="77777777" w:rsidR="009E49C4" w:rsidRPr="009E49C4" w:rsidRDefault="009E49C4" w:rsidP="009E49C4">
      <w:pPr>
        <w:spacing w:line="560" w:lineRule="exact"/>
        <w:ind w:firstLineChars="200" w:firstLine="440"/>
      </w:pPr>
      <w:r w:rsidRPr="009E49C4">
        <w:t>其次，在风险识别方面，本人重点关注四类风险。第一是主体一致性风险，即客户名称、证券账户、股东代码、授权文件和业务申请材料是否完全一致；第二是股份状态风险，即相关股份是否存在限售、质押、冻结、减持约束或其他影响转托管的特殊安排；第三是流程衔接风险，即原托管机构、目标托管机构、登记结算及公司内部运营条线之间是否能够顺畅衔接；第四是信息安全风险，即客户身份、持股规模、股份转移安排和后续融资计划等信息是否得到有效保护。</w:t>
      </w:r>
    </w:p>
    <w:p w14:paraId="75F68E88" w14:textId="77777777" w:rsidR="009E49C4" w:rsidRPr="009E49C4" w:rsidRDefault="009E49C4" w:rsidP="009E49C4">
      <w:pPr>
        <w:spacing w:line="560" w:lineRule="exact"/>
        <w:ind w:firstLineChars="200" w:firstLine="440"/>
      </w:pPr>
      <w:r w:rsidRPr="009E49C4">
        <w:t>在实际办理过程中，本人始终坚持“先核验、再推进；先确认、再提交；先留痕、再反馈”的原则。例如，在客户资料准备阶段，本人提前形成资料清单，逐项核对客户主体文件、授权文件、证券账户信息和业务申请材料，避免因盖章版本、账户信息或授权范围不一致导致业务反复；在股份状态确认阶段，本人协助团队对股份是否具备转托管条件进行前置核查，提前排除可能影响办理的限制性事项；在执行反馈阶段，本人持续跟踪业务进度，并及时向客户反馈阶段性结果，使客户对项目进展形成稳定预期。</w:t>
      </w:r>
    </w:p>
    <w:p w14:paraId="0EC6EAE0" w14:textId="77777777" w:rsidR="009E49C4" w:rsidRPr="009E49C4" w:rsidRDefault="009E49C4" w:rsidP="009E49C4">
      <w:pPr>
        <w:spacing w:line="560" w:lineRule="exact"/>
        <w:ind w:firstLineChars="200" w:firstLine="440"/>
      </w:pPr>
      <w:r w:rsidRPr="009E49C4">
        <w:t>最终，第二大股东约35亿元股份顺利完成高效转托管。该成果不仅说明本人具备处理大额证券资产迁移的专业能力，更体现了本人在面对国有控股上市公司和军工行业重要客户时，能够以高度负责的态度守住风险底线、保障客户资产安全、维护项目稳定推进。</w:t>
      </w:r>
    </w:p>
    <w:p w14:paraId="002D4369" w14:textId="77777777" w:rsidR="009E49C4" w:rsidRPr="009E49C4" w:rsidRDefault="009E49C4" w:rsidP="009E49C4">
      <w:pPr>
        <w:spacing w:line="560" w:lineRule="exact"/>
        <w:ind w:firstLineChars="200" w:firstLine="440"/>
        <w:rPr>
          <w:b/>
          <w:bCs/>
        </w:rPr>
      </w:pPr>
      <w:r w:rsidRPr="009E49C4">
        <w:rPr>
          <w:b/>
          <w:bCs/>
        </w:rPr>
        <w:t>三、坚持审慎沟通，提升敏感行业大型客户服务中的政治敏感性和保密意识</w:t>
      </w:r>
    </w:p>
    <w:p w14:paraId="637FB0D0" w14:textId="77777777" w:rsidR="009E49C4" w:rsidRPr="009E49C4" w:rsidRDefault="009E49C4" w:rsidP="009E49C4">
      <w:pPr>
        <w:spacing w:line="560" w:lineRule="exact"/>
        <w:ind w:firstLineChars="200" w:firstLine="440"/>
      </w:pPr>
      <w:r w:rsidRPr="009E49C4">
        <w:t>在服务军工行业上市公司及其重要股东过程中，沟通方式本身就是项目成败的重要因素。此类客户对于信息边界、服务尺度、外部表述和内部流转具有更高要求，任何简单化、粗放化的沟通方式，都可能影响客户信任，甚至带来合规和声誉风险。</w:t>
      </w:r>
    </w:p>
    <w:p w14:paraId="34AF1912" w14:textId="77777777" w:rsidR="009E49C4" w:rsidRPr="009E49C4" w:rsidRDefault="009E49C4" w:rsidP="009E49C4">
      <w:pPr>
        <w:spacing w:line="560" w:lineRule="exact"/>
        <w:ind w:firstLineChars="200" w:firstLine="440"/>
      </w:pPr>
      <w:r w:rsidRPr="009E49C4">
        <w:t>因此，本人在项目推进中始终坚持审慎沟通原则。对于客户所持股份规模、股东</w:t>
      </w:r>
      <w:r w:rsidRPr="009E49C4">
        <w:lastRenderedPageBreak/>
        <w:t>身份、转托管安排、授信需求、股权投资计划等敏感事项，本人严格遵循最小必要原则进行信息传递，只在业务推进确有必要的人员和部门之间进行沟通，避免无关扩散。对于需要客户确认的重要事项，本人坚持以正式材料、明确口径和可留痕方式进行沟通，避免因口头表达不清造成误解。对于涉及上市公司、股东、军工行业属性和资本安排的内容，本人始终避免作出超越业务权限的判断和承诺，确保服务边界清晰。</w:t>
      </w:r>
    </w:p>
    <w:p w14:paraId="3C6192EB" w14:textId="77777777" w:rsidR="009E49C4" w:rsidRPr="009E49C4" w:rsidRDefault="009E49C4" w:rsidP="009E49C4">
      <w:pPr>
        <w:spacing w:line="560" w:lineRule="exact"/>
        <w:ind w:firstLineChars="200" w:firstLine="440"/>
      </w:pPr>
      <w:r w:rsidRPr="009E49C4">
        <w:t>在客户关系维护过程中，本人也没有采用普通营销式沟通方式，而是更加注重尊重客户组织体系和决策习惯。面对国有控股背景客户，本人重视程序意识和层级意识，凡涉及重要事项均提前准备清晰材料，帮助客户内部形成决策依据；面对军工行业敏感客户，本人重视保密意识和稳慎表达，确保所有业务沟通聚焦事实、流程和合规要求；面对上市公司重要股东，本人重视资产安全和结果反馈，确保客户能够随时掌握事项进度，但又不因信息过度传递造成不必要压力。</w:t>
      </w:r>
    </w:p>
    <w:p w14:paraId="064E10E0" w14:textId="77777777" w:rsidR="009E49C4" w:rsidRPr="009E49C4" w:rsidRDefault="009E49C4" w:rsidP="009E49C4">
      <w:pPr>
        <w:spacing w:line="560" w:lineRule="exact"/>
        <w:ind w:firstLineChars="200" w:firstLine="440"/>
      </w:pPr>
      <w:r w:rsidRPr="009E49C4">
        <w:t>这种沟通方式有效增强了客户对服务团队的信任。客户能够感受到，本人并非简单推动业务办理，而是能够理解其作为国有控股上市公司重要股东、军工行业相关主体和大额证券资产持有方的特殊处境，能够在服务效率和风险边界之间保持平衡。该能力正是服务大型国有客户和敏感行业客户所必需的政治敏感性和职业成熟度。</w:t>
      </w:r>
    </w:p>
    <w:p w14:paraId="7BEA0A22" w14:textId="77777777" w:rsidR="009E49C4" w:rsidRPr="009E49C4" w:rsidRDefault="009E49C4" w:rsidP="009E49C4">
      <w:pPr>
        <w:spacing w:line="560" w:lineRule="exact"/>
        <w:ind w:firstLineChars="200" w:firstLine="440"/>
        <w:rPr>
          <w:b/>
          <w:bCs/>
        </w:rPr>
      </w:pPr>
      <w:r w:rsidRPr="009E49C4">
        <w:rPr>
          <w:b/>
          <w:bCs/>
        </w:rPr>
        <w:t>四、发挥运筹能力，将单一转托管业务转化为综合金融服务闭环</w:t>
      </w:r>
    </w:p>
    <w:p w14:paraId="5C93B35C" w14:textId="77777777" w:rsidR="009E49C4" w:rsidRPr="009E49C4" w:rsidRDefault="009E49C4" w:rsidP="009E49C4">
      <w:pPr>
        <w:spacing w:line="560" w:lineRule="exact"/>
        <w:ind w:firstLineChars="200" w:firstLine="440"/>
      </w:pPr>
      <w:r w:rsidRPr="009E49C4">
        <w:t>该项目中，本人并未将35亿元股份转托管视为孤立业务，而是将其作为深化上市公司综合服务的关键入口。对于大型国有控股上市公司及其重要股东而言，股份托管只是表层需求，深层需求往往包括资本结构优化、资金调度能力提升、资产价值盘活、集团资源对接和长期金融合作。因此，本人在项目推进中始终坚持“以基础业务建立信任，以综合服务拓展合作”的工作思路。</w:t>
      </w:r>
    </w:p>
    <w:p w14:paraId="2954B7C0" w14:textId="77777777" w:rsidR="009E49C4" w:rsidRPr="009E49C4" w:rsidRDefault="009E49C4" w:rsidP="009E49C4">
      <w:pPr>
        <w:spacing w:line="560" w:lineRule="exact"/>
        <w:ind w:firstLineChars="200" w:firstLine="440"/>
      </w:pPr>
      <w:r w:rsidRPr="009E49C4">
        <w:t>在完成转托管服务过程中，本人持续关注客户后续资金安排和资本运作需求。通</w:t>
      </w:r>
      <w:r w:rsidRPr="009E49C4">
        <w:lastRenderedPageBreak/>
        <w:t>过与客户沟通，本人识别到客户不仅关注股份迁移本身，也关注如何在持有上市公司股份的基础上，进一步提升资金使用效率、拓展融资渠道和优化资本结构。基于这一判断，本人协助团队将服务方向从转托管延伸至授信支持和股权投资计划协同，推动项目形成“证券资产服务—客户需求识别—集团资源协调—综合方案落地”的闭环。</w:t>
      </w:r>
    </w:p>
    <w:p w14:paraId="321A06BC" w14:textId="77777777" w:rsidR="009E49C4" w:rsidRPr="009E49C4" w:rsidRDefault="009E49C4" w:rsidP="009E49C4">
      <w:pPr>
        <w:spacing w:line="560" w:lineRule="exact"/>
        <w:ind w:firstLineChars="200" w:firstLine="440"/>
      </w:pPr>
      <w:r w:rsidRPr="009E49C4">
        <w:t>在这一过程中，本人的运筹能力主要体现在三个方面。第一是业务节奏的统筹。转托管、授信和股权投资计划并非同一业务条线，审批逻辑、材料要求和推进节奏均不相同。本人根据客户优先级和项目可行性，先集中力量完成最紧迫、最明确的股份转托管事项，再逐步推动授信额度和股权投资计划，使项目推进既有重点，也有层次。第二是资源关系的统筹。本人协同内部业务、运营、风控、信用审批以及集团相关资源，使不同团队能够围绕客户需求形成合力，而不是各自为政。第三是客户预期的统筹。本人在与客户沟通中既积极回应需求，也审慎管理预期，确保客户了解各项业务的流程、条件和时间安排，避免因预期不清影响合作体验。</w:t>
      </w:r>
    </w:p>
    <w:p w14:paraId="2B8126CD" w14:textId="77777777" w:rsidR="009E49C4" w:rsidRPr="009E49C4" w:rsidRDefault="009E49C4" w:rsidP="009E49C4">
      <w:pPr>
        <w:spacing w:line="560" w:lineRule="exact"/>
        <w:ind w:firstLineChars="200" w:firstLine="440"/>
      </w:pPr>
      <w:r w:rsidRPr="009E49C4">
        <w:t>通过这种运筹安排，项目实现了从单一股份转托管到授信支持、股权投资计划协同和长期综合服务关系的延展。该过程体现出本人不仅能够完成具体任务，更能够站在客户整体需求和机构综合服务能力的角度谋划项目。</w:t>
      </w:r>
    </w:p>
    <w:p w14:paraId="14BA4B69" w14:textId="77777777" w:rsidR="009E49C4" w:rsidRPr="009E49C4" w:rsidRDefault="009E49C4" w:rsidP="009E49C4">
      <w:pPr>
        <w:spacing w:line="560" w:lineRule="exact"/>
        <w:ind w:firstLineChars="200" w:firstLine="440"/>
        <w:rPr>
          <w:b/>
          <w:bCs/>
        </w:rPr>
      </w:pPr>
      <w:r w:rsidRPr="009E49C4">
        <w:rPr>
          <w:b/>
          <w:bCs/>
        </w:rPr>
        <w:t>五、协同推动中信集团股权投资计划，体现集团资源整合能力</w:t>
      </w:r>
    </w:p>
    <w:p w14:paraId="49EBB2D1" w14:textId="77777777" w:rsidR="009E49C4" w:rsidRPr="009E49C4" w:rsidRDefault="009E49C4" w:rsidP="009E49C4">
      <w:pPr>
        <w:spacing w:line="560" w:lineRule="exact"/>
        <w:ind w:firstLineChars="200" w:firstLine="440"/>
      </w:pPr>
      <w:r w:rsidRPr="009E49C4">
        <w:t>在股份转托管项目顺利推进的基础上，本人进一步协同推动中信集团股权投资计划相关事项。对于国有控股上市公司和军工行业客户而言，集团级资源协同并不是简单的业务介绍，而是需要在客户战略属性、行业敏感属性、资本需求和风险边界之间进行审慎匹配。</w:t>
      </w:r>
    </w:p>
    <w:p w14:paraId="7237D430" w14:textId="77777777" w:rsidR="009E49C4" w:rsidRPr="009E49C4" w:rsidRDefault="009E49C4" w:rsidP="009E49C4">
      <w:pPr>
        <w:spacing w:line="560" w:lineRule="exact"/>
        <w:ind w:firstLineChars="200" w:firstLine="440"/>
      </w:pPr>
      <w:r w:rsidRPr="009E49C4">
        <w:t>在该环节中，本人首先围绕客户基本情况、股权关系、资本需求、资产基础和合作价值进行系统梳理，将客户诉求转化为集团内部可理解、可研判、可推进的业务信息。由于客户所处行业具有特殊性，相关材料组织不能只强调商业收益，还必须体现</w:t>
      </w:r>
      <w:r w:rsidRPr="009E49C4">
        <w:lastRenderedPageBreak/>
        <w:t>客户战略价值、风险可控性、合作必要性和长期协同空间。因此，本人在材料整理和沟通推进中，注重突出客户国有控股上市公司背景、产业属性、资产基础和资本优化需求，使集团资源能够更加准确地理解项目价值。</w:t>
      </w:r>
    </w:p>
    <w:p w14:paraId="62D43497" w14:textId="77777777" w:rsidR="009E49C4" w:rsidRPr="009E49C4" w:rsidRDefault="009E49C4" w:rsidP="009E49C4">
      <w:pPr>
        <w:spacing w:line="560" w:lineRule="exact"/>
        <w:ind w:firstLineChars="200" w:firstLine="440"/>
      </w:pPr>
      <w:r w:rsidRPr="009E49C4">
        <w:t>在协同过程中，本人重点发挥桥梁作用。一方面，向客户解释集团资源介入的流程、边界和节奏，帮助客户形成合理预期；另一方面，向内部和集团相关方传递客户需求、项目基础和合作条件，推动各方形成统一认知。对于项目推进中涉及的信息补充、问题反馈和材料完善，本人及时协调，确保沟通不断档、事项不悬空、反馈有闭环。</w:t>
      </w:r>
    </w:p>
    <w:p w14:paraId="01F26824" w14:textId="77777777" w:rsidR="009E49C4" w:rsidRPr="009E49C4" w:rsidRDefault="009E49C4" w:rsidP="009E49C4">
      <w:pPr>
        <w:spacing w:line="560" w:lineRule="exact"/>
        <w:ind w:firstLineChars="200" w:firstLine="440"/>
      </w:pPr>
      <w:r w:rsidRPr="009E49C4">
        <w:t>该项工作体现了本人在大型客户服务中的资源整合能力。面对军工行业国有控股上市公司客户，仅有单一业务能力是不够的，还需要能够调动集团综合资源，理解不同业务条线的关注重点，并在客户需求与机构能力之间找到可落地的结合点。本人在该项目中推动股权投资计划相关事项，正是将客户服务从证券业务延伸到集团综合协同的重要体现。</w:t>
      </w:r>
    </w:p>
    <w:p w14:paraId="4B91D40A" w14:textId="77777777" w:rsidR="009E49C4" w:rsidRPr="009E49C4" w:rsidRDefault="009E49C4" w:rsidP="009E49C4">
      <w:pPr>
        <w:spacing w:line="560" w:lineRule="exact"/>
        <w:ind w:firstLineChars="200" w:firstLine="440"/>
        <w:rPr>
          <w:b/>
          <w:bCs/>
        </w:rPr>
      </w:pPr>
      <w:r w:rsidRPr="009E49C4">
        <w:rPr>
          <w:b/>
          <w:bCs/>
        </w:rPr>
        <w:t>六、新增7000万元授信额度，服务客户资本结构优化</w:t>
      </w:r>
    </w:p>
    <w:p w14:paraId="34806EDC" w14:textId="77777777" w:rsidR="009E49C4" w:rsidRPr="009E49C4" w:rsidRDefault="009E49C4" w:rsidP="009E49C4">
      <w:pPr>
        <w:spacing w:line="560" w:lineRule="exact"/>
        <w:ind w:firstLineChars="200" w:firstLine="440"/>
      </w:pPr>
      <w:r w:rsidRPr="009E49C4">
        <w:t>在完成股份转托管和股权投资计划协同推进的基础上，本人进一步协助推动新增7000万元授信额度。该成果说明项目已经从单一证券资产服务，进一步延伸到客户融资安排和资本结构优化层面。</w:t>
      </w:r>
    </w:p>
    <w:p w14:paraId="3E29B5A1" w14:textId="77777777" w:rsidR="009E49C4" w:rsidRPr="009E49C4" w:rsidRDefault="009E49C4" w:rsidP="009E49C4">
      <w:pPr>
        <w:spacing w:line="560" w:lineRule="exact"/>
        <w:ind w:firstLineChars="200" w:firstLine="440"/>
      </w:pPr>
      <w:r w:rsidRPr="009E49C4">
        <w:t>对于大型国有控股上市公司重要股东而言，授信额度的意义不仅在于获得一笔资金支持，更在于增强资金调度能力、盘活存量资产价值、优化债务和资本结构、提升后续资本运作灵活性。因此，在授信推动过程中，本人并未简单以“额度申请”作为工作目标，而是围绕客户资本结构优化需求，协助团队梳理授信逻辑和风控基础。</w:t>
      </w:r>
    </w:p>
    <w:p w14:paraId="6129B4CF" w14:textId="77777777" w:rsidR="009E49C4" w:rsidRPr="009E49C4" w:rsidRDefault="009E49C4" w:rsidP="009E49C4">
      <w:pPr>
        <w:spacing w:line="560" w:lineRule="exact"/>
        <w:ind w:firstLineChars="200" w:firstLine="440"/>
      </w:pPr>
      <w:r w:rsidRPr="009E49C4">
        <w:t>在信息整理方面，本人协助梳理客户持有上市公司股份情况、资产基础、资金用途、偿付能力、合作历史和风险缓释条件，使授信审批具备相对完整的信息支撑。在</w:t>
      </w:r>
      <w:r w:rsidRPr="009E49C4">
        <w:lastRenderedPageBreak/>
        <w:t>内部协调方面，本人协助对接业务部门、信用审批、风险管理及相关支持团队，跟进材料补充、审批反馈、方案调整和额度落地。在客户沟通方面，本人及时反馈授信推进进展，协助客户理解授信条件、使用边界和后续管理要求。</w:t>
      </w:r>
    </w:p>
    <w:p w14:paraId="180A4271" w14:textId="77777777" w:rsidR="009E49C4" w:rsidRPr="009E49C4" w:rsidRDefault="009E49C4" w:rsidP="009E49C4">
      <w:pPr>
        <w:spacing w:line="560" w:lineRule="exact"/>
        <w:ind w:firstLineChars="200" w:firstLine="440"/>
      </w:pPr>
      <w:r w:rsidRPr="009E49C4">
        <w:t>最终，项目新增7000万元授信额度，为客户提供了更灵活的资金安排空间。一方面，该额度有助于客户提升资金周转能力，降低对单一融资来源的依赖；另一方面，也有助于客户在持有大额上市公司股份的基础上，进一步释放资产价值，改善资本结构。该结果体现了本人能够围绕客户资产基础和实际需求，协同内部资源形成综合解决方案的能力。</w:t>
      </w:r>
    </w:p>
    <w:p w14:paraId="5CA3A956" w14:textId="77777777" w:rsidR="009E49C4" w:rsidRPr="009E49C4" w:rsidRDefault="009E49C4" w:rsidP="009E49C4">
      <w:pPr>
        <w:spacing w:line="560" w:lineRule="exact"/>
        <w:ind w:firstLineChars="200" w:firstLine="440"/>
        <w:rPr>
          <w:b/>
          <w:bCs/>
        </w:rPr>
      </w:pPr>
      <w:r w:rsidRPr="009E49C4">
        <w:rPr>
          <w:b/>
          <w:bCs/>
        </w:rPr>
        <w:t>七、项目攻关过程：在政治安全、业务效率与客户体验之间实现平衡</w:t>
      </w:r>
    </w:p>
    <w:p w14:paraId="0DA4429A" w14:textId="77777777" w:rsidR="009E49C4" w:rsidRPr="009E49C4" w:rsidRDefault="009E49C4" w:rsidP="009E49C4">
      <w:pPr>
        <w:spacing w:line="560" w:lineRule="exact"/>
        <w:ind w:firstLineChars="200" w:firstLine="440"/>
      </w:pPr>
      <w:r w:rsidRPr="009E49C4">
        <w:t>该项目最核心的难点，不是某一个流程节点本身，而是如何在政治安全、业务效率和客户体验之间实现平衡。面对国有控股上市公司、军工行业敏感属性、上市公司第二大股东、35亿元股份规模和多项综合金融服务需求，本人必须同时处理好安全与效率、合规与服务、保密与协同、短期任务与长期关系之间的关系。</w:t>
      </w:r>
    </w:p>
    <w:p w14:paraId="719BD92C" w14:textId="77777777" w:rsidR="009E49C4" w:rsidRPr="009E49C4" w:rsidRDefault="009E49C4" w:rsidP="009E49C4">
      <w:pPr>
        <w:spacing w:line="560" w:lineRule="exact"/>
        <w:ind w:firstLineChars="200" w:firstLine="440"/>
      </w:pPr>
      <w:r w:rsidRPr="009E49C4">
        <w:t>在安全与效率之间，本人坚持先把风险识别清楚，再推动流程提速。对于35亿元股份转托管，本人通过前置核验、清单管理和节点跟踪，提高办理效率，但没有以牺牲风险控制为代价。该做法既保证了业务高效落地，也保障了客户资产安全。</w:t>
      </w:r>
    </w:p>
    <w:p w14:paraId="02E754EA" w14:textId="77777777" w:rsidR="009E49C4" w:rsidRPr="009E49C4" w:rsidRDefault="009E49C4" w:rsidP="009E49C4">
      <w:pPr>
        <w:spacing w:line="560" w:lineRule="exact"/>
        <w:ind w:firstLineChars="200" w:firstLine="440"/>
      </w:pPr>
      <w:r w:rsidRPr="009E49C4">
        <w:t>在合规与服务之间，本人坚持把合规要求转化为客户能够理解的服务语言。对于客户关注的股份迁移、授信安排和股权投资计划，本人既积极提供服务支持，也清晰说明流程要求和业务边界，使客户既感受到服务效率，也理解金融机构的合规责任。</w:t>
      </w:r>
    </w:p>
    <w:p w14:paraId="7FB14615" w14:textId="77777777" w:rsidR="009E49C4" w:rsidRPr="009E49C4" w:rsidRDefault="009E49C4" w:rsidP="009E49C4">
      <w:pPr>
        <w:spacing w:line="560" w:lineRule="exact"/>
        <w:ind w:firstLineChars="200" w:firstLine="440"/>
      </w:pPr>
      <w:r w:rsidRPr="009E49C4">
        <w:t>在保密与协同之间，本人坚持最小必要原则。项目需要多部门、多条线配合，但客户信息具有较高敏感度。本人通过控制信息传递范围、明确沟通对象、规范材料流转和留痕管理，在保证协同效率的同时维护信息安全。</w:t>
      </w:r>
    </w:p>
    <w:p w14:paraId="4EDA92DC" w14:textId="77777777" w:rsidR="009E49C4" w:rsidRPr="009E49C4" w:rsidRDefault="009E49C4" w:rsidP="009E49C4">
      <w:pPr>
        <w:spacing w:line="560" w:lineRule="exact"/>
        <w:ind w:firstLineChars="200" w:firstLine="440"/>
      </w:pPr>
      <w:r w:rsidRPr="009E49C4">
        <w:lastRenderedPageBreak/>
        <w:t>在短期任务与长期关系之间，本人坚持将单次业务作为长期合作的入口。通过转托管建立信任，通过授信支持深化合作，通过集团股权投资计划拓展空间，最终推动项目从基础证券服务升级为上市公司综合金融服务。</w:t>
      </w:r>
    </w:p>
    <w:p w14:paraId="3240DCD0" w14:textId="77777777" w:rsidR="009E49C4" w:rsidRPr="009E49C4" w:rsidRDefault="009E49C4" w:rsidP="009E49C4">
      <w:pPr>
        <w:spacing w:line="560" w:lineRule="exact"/>
        <w:ind w:firstLineChars="200" w:firstLine="440"/>
      </w:pPr>
      <w:r w:rsidRPr="009E49C4">
        <w:t>这一系列攻关过程，集中体现了本人在复杂项目中的政治能力和运筹能力。政治能力体现在能够准确理解客户属性、行业属性和业务边界，始终将安全、稳定、规范放在前面；运筹能力体现在能够统筹多方资源、安排项目节奏、拆解复杂事项、推动综合结果落地。</w:t>
      </w:r>
    </w:p>
    <w:p w14:paraId="7D63D7B3" w14:textId="77777777" w:rsidR="009E49C4" w:rsidRPr="009E49C4" w:rsidRDefault="009E49C4" w:rsidP="009E49C4">
      <w:pPr>
        <w:spacing w:line="560" w:lineRule="exact"/>
        <w:ind w:firstLineChars="200" w:firstLine="440"/>
        <w:rPr>
          <w:b/>
          <w:bCs/>
        </w:rPr>
      </w:pPr>
      <w:r w:rsidRPr="009E49C4">
        <w:rPr>
          <w:b/>
          <w:bCs/>
        </w:rPr>
        <w:t>八、项目成效与个人能力体现</w:t>
      </w:r>
    </w:p>
    <w:p w14:paraId="7A56DA72" w14:textId="77777777" w:rsidR="009E49C4" w:rsidRPr="009E49C4" w:rsidRDefault="009E49C4" w:rsidP="009E49C4">
      <w:pPr>
        <w:spacing w:line="560" w:lineRule="exact"/>
        <w:ind w:firstLineChars="200" w:firstLine="440"/>
      </w:pPr>
      <w:r w:rsidRPr="009E49C4">
        <w:t>通过航天彩虹无人机股份有限公司综合服务项目，本人完成第二大股东约35亿元股份高效转托管，协同推动中信集团股权投资计划，并新增7000万元授信额度，推动客户在股份托管、融资安排、资本结构优化和集团资源协同方面取得实质进展。该项目实现了从大额证券资产服务到上市公司综合金融服务的升级，也体现了本人在服务国有控股上市公司和敏感军工行业大型客户中的综合能力。</w:t>
      </w:r>
    </w:p>
    <w:p w14:paraId="71074152" w14:textId="77777777" w:rsidR="009E49C4" w:rsidRPr="009E49C4" w:rsidRDefault="009E49C4" w:rsidP="009E49C4">
      <w:pPr>
        <w:spacing w:line="560" w:lineRule="exact"/>
        <w:ind w:firstLineChars="200" w:firstLine="440"/>
      </w:pPr>
      <w:r w:rsidRPr="009E49C4">
        <w:t>在政治能力方面，本人能够准确把握国有控股上市公司和军工行业客户的特殊性，始终坚持政治站位、保密意识、合规意识和风险底线，确保项目在安全、稳定、规范的框架下推进。面对客户身份重要、行业属性敏感、股份规模较大的复杂情况，本人没有简单以业务结果为唯一导向，而是将服务过程放在更高层面的安全稳定和合规要求中进行统筹。</w:t>
      </w:r>
    </w:p>
    <w:p w14:paraId="3E61D502" w14:textId="77777777" w:rsidR="009E49C4" w:rsidRPr="009E49C4" w:rsidRDefault="009E49C4" w:rsidP="009E49C4">
      <w:pPr>
        <w:spacing w:line="560" w:lineRule="exact"/>
        <w:ind w:firstLineChars="200" w:firstLine="440"/>
      </w:pPr>
      <w:r w:rsidRPr="009E49C4">
        <w:t>在运筹能力方面，本人能够将35亿元股份转托管、7000万元授信新增和中信集团股权投资计划协同进行系统安排，形成前后衔接、层层递进的项目推进路径。本人先通过股份转托管解决客户核心诉求，再通过授信支持回应客户资金需求，进一步通过集团股权投资计划拓展长期合作空间，体现出较强的战略谋划能力和项目组织能力。</w:t>
      </w:r>
    </w:p>
    <w:p w14:paraId="4A358F0F" w14:textId="77777777" w:rsidR="009E49C4" w:rsidRPr="009E49C4" w:rsidRDefault="009E49C4" w:rsidP="009E49C4">
      <w:pPr>
        <w:spacing w:line="560" w:lineRule="exact"/>
        <w:ind w:firstLineChars="200" w:firstLine="440"/>
      </w:pPr>
      <w:r w:rsidRPr="009E49C4">
        <w:lastRenderedPageBreak/>
        <w:t>在客户经营能力方面，本人能够以具体业务建立客户信任，并在信任基础上识别客户深层需求。通过高效、稳妥完成大额股份转托管，本人增强了客户对服务团队的认可；通过新增授信额度，本人提升了客户资金安排能力；通过推动集团资源协同，本人拓展了客户与中信体系的合作深度。该过程证明本人具备服务大型机构客户、重要股东客户和战略型客户的能力。</w:t>
      </w:r>
    </w:p>
    <w:p w14:paraId="03BE0A6B" w14:textId="77777777" w:rsidR="009E49C4" w:rsidRPr="009E49C4" w:rsidRDefault="009E49C4" w:rsidP="009E49C4">
      <w:pPr>
        <w:spacing w:line="560" w:lineRule="exact"/>
        <w:ind w:firstLineChars="200" w:firstLine="440"/>
      </w:pPr>
      <w:r w:rsidRPr="009E49C4">
        <w:t>在风险防控能力方面，本人能够围绕大额股份资产迁移、上市公司股东服务、军工行业敏感属性和授信业务推进，建立资料核验、流程留痕、信息控制和节点反馈机制，确保项目推进既高效又可控。面对复杂业务场景，本人能够提前识别风险、主动设置边界、持续跟踪结果，体现出较强的底线思维和风险管理能力。</w:t>
      </w:r>
    </w:p>
    <w:p w14:paraId="2CA267CA" w14:textId="77777777" w:rsidR="009E49C4" w:rsidRPr="009E49C4" w:rsidRDefault="009E49C4" w:rsidP="009E49C4">
      <w:pPr>
        <w:spacing w:line="560" w:lineRule="exact"/>
        <w:ind w:firstLineChars="200" w:firstLine="440"/>
      </w:pPr>
      <w:r w:rsidRPr="009E49C4">
        <w:t>在集团协同能力方面，本人能够围绕客户综合需求，协同中信体系内相关资源，将证券服务、授信支持和股权投资计划进行有效衔接。该能力说明本人不仅能够完成单一条线业务，也能够站在集团综合金融服务角度，推动资源整合和客户价值提升。</w:t>
      </w:r>
    </w:p>
    <w:p w14:paraId="6D747DB5" w14:textId="77777777" w:rsidR="009E49C4" w:rsidRPr="009E49C4" w:rsidRDefault="009E49C4" w:rsidP="009E49C4">
      <w:pPr>
        <w:spacing w:line="560" w:lineRule="exact"/>
        <w:ind w:firstLineChars="200" w:firstLine="440"/>
      </w:pPr>
      <w:r w:rsidRPr="009E49C4">
        <w:t>总体来看，航天彩虹无人机股份有限公司综合服务项目，是本人服务国有控股上市公司和军工行业大型客户的重要实践。该项目充分体现了本人在复杂敏感客户服务中的政治判断能力、风险识别能力、组织协调能力和综合运筹能力。通过该项目，本人形成了以政治站位为统领、以风险防控为底线、以客户需求为牵引、以集团资源为支撑、以长期合作为目标的工作方法。该经历证明，本人能够在面对高规格、高敏感、高价值客户时，既守住安全合规底线，又推动业务结果落地；既完成具体项目任务，又拓展长期合作空间；既体现专业能力，也体现服务国家战略产业客户所需的政治素养和大局意识。</w:t>
      </w:r>
    </w:p>
    <w:p w14:paraId="2FE85A0B" w14:textId="3F60D610" w:rsidR="00712399" w:rsidRPr="009E49C4" w:rsidRDefault="00712399" w:rsidP="00712399"/>
    <w:sectPr w:rsidR="00712399" w:rsidRPr="009E49C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6C5987"/>
    <w:multiLevelType w:val="hybridMultilevel"/>
    <w:tmpl w:val="F8D6D1FE"/>
    <w:lvl w:ilvl="0" w:tplc="2284691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C2A7700"/>
    <w:multiLevelType w:val="hybridMultilevel"/>
    <w:tmpl w:val="E0C09FAE"/>
    <w:lvl w:ilvl="0" w:tplc="F07AFD30">
      <w:start w:val="1"/>
      <w:numFmt w:val="decimal"/>
      <w:lvlText w:val="（%1）"/>
      <w:lvlJc w:val="left"/>
      <w:pPr>
        <w:ind w:left="1080" w:hanging="7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num w:numId="1" w16cid:durableId="109981212">
    <w:abstractNumId w:val="0"/>
  </w:num>
  <w:num w:numId="2" w16cid:durableId="7635769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1"/>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9B6"/>
    <w:rsid w:val="000136CE"/>
    <w:rsid w:val="00056B63"/>
    <w:rsid w:val="00065B97"/>
    <w:rsid w:val="001248A6"/>
    <w:rsid w:val="00162133"/>
    <w:rsid w:val="00175924"/>
    <w:rsid w:val="00205CF8"/>
    <w:rsid w:val="0033290D"/>
    <w:rsid w:val="004A64DE"/>
    <w:rsid w:val="004B6D5C"/>
    <w:rsid w:val="004F1298"/>
    <w:rsid w:val="005467CA"/>
    <w:rsid w:val="005E11FE"/>
    <w:rsid w:val="006E3D78"/>
    <w:rsid w:val="00712399"/>
    <w:rsid w:val="00965810"/>
    <w:rsid w:val="009B69B6"/>
    <w:rsid w:val="009E49C4"/>
    <w:rsid w:val="00A97AF4"/>
    <w:rsid w:val="00AC1757"/>
    <w:rsid w:val="00B15479"/>
    <w:rsid w:val="00BA1DA6"/>
    <w:rsid w:val="00BA3E82"/>
    <w:rsid w:val="00BC6ADD"/>
    <w:rsid w:val="00BE4098"/>
    <w:rsid w:val="00C90766"/>
    <w:rsid w:val="00CF5D57"/>
    <w:rsid w:val="00D71AF1"/>
    <w:rsid w:val="00EF03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F90C3"/>
  <w15:chartTrackingRefBased/>
  <w15:docId w15:val="{FAF8B745-B91E-2F49-80F6-3BF894CC0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69B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B69B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B69B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B69B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B69B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B69B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B69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B69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B69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B69B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B69B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B69B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B69B6"/>
    <w:rPr>
      <w:rFonts w:cstheme="majorBidi"/>
      <w:color w:val="0F4761" w:themeColor="accent1" w:themeShade="BF"/>
      <w:sz w:val="28"/>
      <w:szCs w:val="28"/>
    </w:rPr>
  </w:style>
  <w:style w:type="character" w:customStyle="1" w:styleId="50">
    <w:name w:val="标题 5 字符"/>
    <w:basedOn w:val="a0"/>
    <w:link w:val="5"/>
    <w:uiPriority w:val="9"/>
    <w:semiHidden/>
    <w:rsid w:val="009B69B6"/>
    <w:rPr>
      <w:rFonts w:cstheme="majorBidi"/>
      <w:color w:val="0F4761" w:themeColor="accent1" w:themeShade="BF"/>
      <w:sz w:val="24"/>
    </w:rPr>
  </w:style>
  <w:style w:type="character" w:customStyle="1" w:styleId="60">
    <w:name w:val="标题 6 字符"/>
    <w:basedOn w:val="a0"/>
    <w:link w:val="6"/>
    <w:uiPriority w:val="9"/>
    <w:semiHidden/>
    <w:rsid w:val="009B69B6"/>
    <w:rPr>
      <w:rFonts w:cstheme="majorBidi"/>
      <w:b/>
      <w:bCs/>
      <w:color w:val="0F4761" w:themeColor="accent1" w:themeShade="BF"/>
    </w:rPr>
  </w:style>
  <w:style w:type="character" w:customStyle="1" w:styleId="70">
    <w:name w:val="标题 7 字符"/>
    <w:basedOn w:val="a0"/>
    <w:link w:val="7"/>
    <w:uiPriority w:val="9"/>
    <w:semiHidden/>
    <w:rsid w:val="009B69B6"/>
    <w:rPr>
      <w:rFonts w:cstheme="majorBidi"/>
      <w:b/>
      <w:bCs/>
      <w:color w:val="595959" w:themeColor="text1" w:themeTint="A6"/>
    </w:rPr>
  </w:style>
  <w:style w:type="character" w:customStyle="1" w:styleId="80">
    <w:name w:val="标题 8 字符"/>
    <w:basedOn w:val="a0"/>
    <w:link w:val="8"/>
    <w:uiPriority w:val="9"/>
    <w:semiHidden/>
    <w:rsid w:val="009B69B6"/>
    <w:rPr>
      <w:rFonts w:cstheme="majorBidi"/>
      <w:color w:val="595959" w:themeColor="text1" w:themeTint="A6"/>
    </w:rPr>
  </w:style>
  <w:style w:type="character" w:customStyle="1" w:styleId="90">
    <w:name w:val="标题 9 字符"/>
    <w:basedOn w:val="a0"/>
    <w:link w:val="9"/>
    <w:uiPriority w:val="9"/>
    <w:semiHidden/>
    <w:rsid w:val="009B69B6"/>
    <w:rPr>
      <w:rFonts w:eastAsiaTheme="majorEastAsia" w:cstheme="majorBidi"/>
      <w:color w:val="595959" w:themeColor="text1" w:themeTint="A6"/>
    </w:rPr>
  </w:style>
  <w:style w:type="paragraph" w:styleId="a3">
    <w:name w:val="Title"/>
    <w:basedOn w:val="a"/>
    <w:next w:val="a"/>
    <w:link w:val="a4"/>
    <w:uiPriority w:val="10"/>
    <w:qFormat/>
    <w:rsid w:val="009B69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B69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69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B69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69B6"/>
    <w:pPr>
      <w:spacing w:before="160"/>
      <w:jc w:val="center"/>
    </w:pPr>
    <w:rPr>
      <w:i/>
      <w:iCs/>
      <w:color w:val="404040" w:themeColor="text1" w:themeTint="BF"/>
    </w:rPr>
  </w:style>
  <w:style w:type="character" w:customStyle="1" w:styleId="a8">
    <w:name w:val="引用 字符"/>
    <w:basedOn w:val="a0"/>
    <w:link w:val="a7"/>
    <w:uiPriority w:val="29"/>
    <w:rsid w:val="009B69B6"/>
    <w:rPr>
      <w:i/>
      <w:iCs/>
      <w:color w:val="404040" w:themeColor="text1" w:themeTint="BF"/>
    </w:rPr>
  </w:style>
  <w:style w:type="paragraph" w:styleId="a9">
    <w:name w:val="List Paragraph"/>
    <w:basedOn w:val="a"/>
    <w:uiPriority w:val="34"/>
    <w:qFormat/>
    <w:rsid w:val="009B69B6"/>
    <w:pPr>
      <w:ind w:left="720"/>
      <w:contextualSpacing/>
    </w:pPr>
  </w:style>
  <w:style w:type="character" w:styleId="aa">
    <w:name w:val="Intense Emphasis"/>
    <w:basedOn w:val="a0"/>
    <w:uiPriority w:val="21"/>
    <w:qFormat/>
    <w:rsid w:val="009B69B6"/>
    <w:rPr>
      <w:i/>
      <w:iCs/>
      <w:color w:val="0F4761" w:themeColor="accent1" w:themeShade="BF"/>
    </w:rPr>
  </w:style>
  <w:style w:type="paragraph" w:styleId="ab">
    <w:name w:val="Intense Quote"/>
    <w:basedOn w:val="a"/>
    <w:next w:val="a"/>
    <w:link w:val="ac"/>
    <w:uiPriority w:val="30"/>
    <w:qFormat/>
    <w:rsid w:val="009B69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B69B6"/>
    <w:rPr>
      <w:i/>
      <w:iCs/>
      <w:color w:val="0F4761" w:themeColor="accent1" w:themeShade="BF"/>
    </w:rPr>
  </w:style>
  <w:style w:type="character" w:styleId="ad">
    <w:name w:val="Intense Reference"/>
    <w:basedOn w:val="a0"/>
    <w:uiPriority w:val="32"/>
    <w:qFormat/>
    <w:rsid w:val="009B69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2456892">
      <w:bodyDiv w:val="1"/>
      <w:marLeft w:val="0"/>
      <w:marRight w:val="0"/>
      <w:marTop w:val="0"/>
      <w:marBottom w:val="0"/>
      <w:divBdr>
        <w:top w:val="none" w:sz="0" w:space="0" w:color="auto"/>
        <w:left w:val="none" w:sz="0" w:space="0" w:color="auto"/>
        <w:bottom w:val="none" w:sz="0" w:space="0" w:color="auto"/>
        <w:right w:val="none" w:sz="0" w:space="0" w:color="auto"/>
      </w:divBdr>
    </w:div>
    <w:div w:id="451636888">
      <w:bodyDiv w:val="1"/>
      <w:marLeft w:val="0"/>
      <w:marRight w:val="0"/>
      <w:marTop w:val="0"/>
      <w:marBottom w:val="0"/>
      <w:divBdr>
        <w:top w:val="none" w:sz="0" w:space="0" w:color="auto"/>
        <w:left w:val="none" w:sz="0" w:space="0" w:color="auto"/>
        <w:bottom w:val="none" w:sz="0" w:space="0" w:color="auto"/>
        <w:right w:val="none" w:sz="0" w:space="0" w:color="auto"/>
      </w:divBdr>
    </w:div>
    <w:div w:id="714697249">
      <w:bodyDiv w:val="1"/>
      <w:marLeft w:val="0"/>
      <w:marRight w:val="0"/>
      <w:marTop w:val="0"/>
      <w:marBottom w:val="0"/>
      <w:divBdr>
        <w:top w:val="none" w:sz="0" w:space="0" w:color="auto"/>
        <w:left w:val="none" w:sz="0" w:space="0" w:color="auto"/>
        <w:bottom w:val="none" w:sz="0" w:space="0" w:color="auto"/>
        <w:right w:val="none" w:sz="0" w:space="0" w:color="auto"/>
      </w:divBdr>
    </w:div>
    <w:div w:id="776212730">
      <w:bodyDiv w:val="1"/>
      <w:marLeft w:val="0"/>
      <w:marRight w:val="0"/>
      <w:marTop w:val="0"/>
      <w:marBottom w:val="0"/>
      <w:divBdr>
        <w:top w:val="none" w:sz="0" w:space="0" w:color="auto"/>
        <w:left w:val="none" w:sz="0" w:space="0" w:color="auto"/>
        <w:bottom w:val="none" w:sz="0" w:space="0" w:color="auto"/>
        <w:right w:val="none" w:sz="0" w:space="0" w:color="auto"/>
      </w:divBdr>
    </w:div>
    <w:div w:id="812479564">
      <w:bodyDiv w:val="1"/>
      <w:marLeft w:val="0"/>
      <w:marRight w:val="0"/>
      <w:marTop w:val="0"/>
      <w:marBottom w:val="0"/>
      <w:divBdr>
        <w:top w:val="none" w:sz="0" w:space="0" w:color="auto"/>
        <w:left w:val="none" w:sz="0" w:space="0" w:color="auto"/>
        <w:bottom w:val="none" w:sz="0" w:space="0" w:color="auto"/>
        <w:right w:val="none" w:sz="0" w:space="0" w:color="auto"/>
      </w:divBdr>
    </w:div>
    <w:div w:id="902376316">
      <w:bodyDiv w:val="1"/>
      <w:marLeft w:val="0"/>
      <w:marRight w:val="0"/>
      <w:marTop w:val="0"/>
      <w:marBottom w:val="0"/>
      <w:divBdr>
        <w:top w:val="none" w:sz="0" w:space="0" w:color="auto"/>
        <w:left w:val="none" w:sz="0" w:space="0" w:color="auto"/>
        <w:bottom w:val="none" w:sz="0" w:space="0" w:color="auto"/>
        <w:right w:val="none" w:sz="0" w:space="0" w:color="auto"/>
      </w:divBdr>
    </w:div>
    <w:div w:id="1015302927">
      <w:bodyDiv w:val="1"/>
      <w:marLeft w:val="0"/>
      <w:marRight w:val="0"/>
      <w:marTop w:val="0"/>
      <w:marBottom w:val="0"/>
      <w:divBdr>
        <w:top w:val="none" w:sz="0" w:space="0" w:color="auto"/>
        <w:left w:val="none" w:sz="0" w:space="0" w:color="auto"/>
        <w:bottom w:val="none" w:sz="0" w:space="0" w:color="auto"/>
        <w:right w:val="none" w:sz="0" w:space="0" w:color="auto"/>
      </w:divBdr>
    </w:div>
    <w:div w:id="1180774734">
      <w:bodyDiv w:val="1"/>
      <w:marLeft w:val="0"/>
      <w:marRight w:val="0"/>
      <w:marTop w:val="0"/>
      <w:marBottom w:val="0"/>
      <w:divBdr>
        <w:top w:val="none" w:sz="0" w:space="0" w:color="auto"/>
        <w:left w:val="none" w:sz="0" w:space="0" w:color="auto"/>
        <w:bottom w:val="none" w:sz="0" w:space="0" w:color="auto"/>
        <w:right w:val="none" w:sz="0" w:space="0" w:color="auto"/>
      </w:divBdr>
    </w:div>
    <w:div w:id="1476945856">
      <w:bodyDiv w:val="1"/>
      <w:marLeft w:val="0"/>
      <w:marRight w:val="0"/>
      <w:marTop w:val="0"/>
      <w:marBottom w:val="0"/>
      <w:divBdr>
        <w:top w:val="none" w:sz="0" w:space="0" w:color="auto"/>
        <w:left w:val="none" w:sz="0" w:space="0" w:color="auto"/>
        <w:bottom w:val="none" w:sz="0" w:space="0" w:color="auto"/>
        <w:right w:val="none" w:sz="0" w:space="0" w:color="auto"/>
      </w:divBdr>
    </w:div>
    <w:div w:id="1538588865">
      <w:bodyDiv w:val="1"/>
      <w:marLeft w:val="0"/>
      <w:marRight w:val="0"/>
      <w:marTop w:val="0"/>
      <w:marBottom w:val="0"/>
      <w:divBdr>
        <w:top w:val="none" w:sz="0" w:space="0" w:color="auto"/>
        <w:left w:val="none" w:sz="0" w:space="0" w:color="auto"/>
        <w:bottom w:val="none" w:sz="0" w:space="0" w:color="auto"/>
        <w:right w:val="none" w:sz="0" w:space="0" w:color="auto"/>
      </w:divBdr>
    </w:div>
    <w:div w:id="1620448292">
      <w:bodyDiv w:val="1"/>
      <w:marLeft w:val="0"/>
      <w:marRight w:val="0"/>
      <w:marTop w:val="0"/>
      <w:marBottom w:val="0"/>
      <w:divBdr>
        <w:top w:val="none" w:sz="0" w:space="0" w:color="auto"/>
        <w:left w:val="none" w:sz="0" w:space="0" w:color="auto"/>
        <w:bottom w:val="none" w:sz="0" w:space="0" w:color="auto"/>
        <w:right w:val="none" w:sz="0" w:space="0" w:color="auto"/>
      </w:divBdr>
    </w:div>
    <w:div w:id="1654215037">
      <w:bodyDiv w:val="1"/>
      <w:marLeft w:val="0"/>
      <w:marRight w:val="0"/>
      <w:marTop w:val="0"/>
      <w:marBottom w:val="0"/>
      <w:divBdr>
        <w:top w:val="none" w:sz="0" w:space="0" w:color="auto"/>
        <w:left w:val="none" w:sz="0" w:space="0" w:color="auto"/>
        <w:bottom w:val="none" w:sz="0" w:space="0" w:color="auto"/>
        <w:right w:val="none" w:sz="0" w:space="0" w:color="auto"/>
      </w:divBdr>
    </w:div>
    <w:div w:id="1758482285">
      <w:bodyDiv w:val="1"/>
      <w:marLeft w:val="0"/>
      <w:marRight w:val="0"/>
      <w:marTop w:val="0"/>
      <w:marBottom w:val="0"/>
      <w:divBdr>
        <w:top w:val="none" w:sz="0" w:space="0" w:color="auto"/>
        <w:left w:val="none" w:sz="0" w:space="0" w:color="auto"/>
        <w:bottom w:val="none" w:sz="0" w:space="0" w:color="auto"/>
        <w:right w:val="none" w:sz="0" w:space="0" w:color="auto"/>
      </w:divBdr>
    </w:div>
    <w:div w:id="1825197434">
      <w:bodyDiv w:val="1"/>
      <w:marLeft w:val="0"/>
      <w:marRight w:val="0"/>
      <w:marTop w:val="0"/>
      <w:marBottom w:val="0"/>
      <w:divBdr>
        <w:top w:val="none" w:sz="0" w:space="0" w:color="auto"/>
        <w:left w:val="none" w:sz="0" w:space="0" w:color="auto"/>
        <w:bottom w:val="none" w:sz="0" w:space="0" w:color="auto"/>
        <w:right w:val="none" w:sz="0" w:space="0" w:color="auto"/>
      </w:divBdr>
    </w:div>
    <w:div w:id="1858500306">
      <w:bodyDiv w:val="1"/>
      <w:marLeft w:val="0"/>
      <w:marRight w:val="0"/>
      <w:marTop w:val="0"/>
      <w:marBottom w:val="0"/>
      <w:divBdr>
        <w:top w:val="none" w:sz="0" w:space="0" w:color="auto"/>
        <w:left w:val="none" w:sz="0" w:space="0" w:color="auto"/>
        <w:bottom w:val="none" w:sz="0" w:space="0" w:color="auto"/>
        <w:right w:val="none" w:sz="0" w:space="0" w:color="auto"/>
      </w:divBdr>
    </w:div>
    <w:div w:id="1997302305">
      <w:bodyDiv w:val="1"/>
      <w:marLeft w:val="0"/>
      <w:marRight w:val="0"/>
      <w:marTop w:val="0"/>
      <w:marBottom w:val="0"/>
      <w:divBdr>
        <w:top w:val="none" w:sz="0" w:space="0" w:color="auto"/>
        <w:left w:val="none" w:sz="0" w:space="0" w:color="auto"/>
        <w:bottom w:val="none" w:sz="0" w:space="0" w:color="auto"/>
        <w:right w:val="none" w:sz="0" w:space="0" w:color="auto"/>
      </w:divBdr>
    </w:div>
    <w:div w:id="2064866846">
      <w:bodyDiv w:val="1"/>
      <w:marLeft w:val="0"/>
      <w:marRight w:val="0"/>
      <w:marTop w:val="0"/>
      <w:marBottom w:val="0"/>
      <w:divBdr>
        <w:top w:val="none" w:sz="0" w:space="0" w:color="auto"/>
        <w:left w:val="none" w:sz="0" w:space="0" w:color="auto"/>
        <w:bottom w:val="none" w:sz="0" w:space="0" w:color="auto"/>
        <w:right w:val="none" w:sz="0" w:space="0" w:color="auto"/>
      </w:divBdr>
    </w:div>
    <w:div w:id="209959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1073</Words>
  <Characters>6118</Characters>
  <Application>Microsoft Office Word</Application>
  <DocSecurity>0</DocSecurity>
  <Lines>50</Lines>
  <Paragraphs>14</Paragraphs>
  <ScaleCrop>false</ScaleCrop>
  <Company/>
  <LinksUpToDate>false</LinksUpToDate>
  <CharactersWithSpaces>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HG9835</dc:creator>
  <cp:keywords/>
  <dc:description/>
  <cp:lastModifiedBy>HG9835</cp:lastModifiedBy>
  <cp:revision>7</cp:revision>
  <dcterms:created xsi:type="dcterms:W3CDTF">2026-05-22T10:22:00Z</dcterms:created>
  <dcterms:modified xsi:type="dcterms:W3CDTF">2026-05-23T14:56:00Z</dcterms:modified>
</cp:coreProperties>
</file>