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5C7D87" w14:textId="1854DFB5" w:rsidR="00FA7E0C" w:rsidRPr="00EF03D4" w:rsidRDefault="00FA7E0C" w:rsidP="00FA7E0C">
      <w:pPr>
        <w:rPr>
          <w:b/>
          <w:bCs/>
        </w:rPr>
      </w:pPr>
      <w:r w:rsidRPr="00EF03D4">
        <w:rPr>
          <w:rFonts w:hint="eastAsia"/>
          <w:b/>
          <w:bCs/>
        </w:rPr>
        <w:t>主标题：</w:t>
      </w:r>
    </w:p>
    <w:p w14:paraId="769D17A0" w14:textId="76EF57B7" w:rsidR="00FA7E0C" w:rsidRDefault="00FA7E0C" w:rsidP="00FA7E0C">
      <w:r w:rsidRPr="00FA7E0C">
        <w:t>高净值客群运营</w:t>
      </w:r>
    </w:p>
    <w:p w14:paraId="20482A62" w14:textId="77777777" w:rsidR="00FA7E0C" w:rsidRDefault="00FA7E0C" w:rsidP="00FA7E0C">
      <w:pPr>
        <w:rPr>
          <w:rFonts w:hint="eastAsia"/>
          <w:b/>
          <w:bCs/>
        </w:rPr>
      </w:pPr>
    </w:p>
    <w:p w14:paraId="03A041ED" w14:textId="77777777" w:rsidR="00FA7E0C" w:rsidRPr="00EF03D4" w:rsidRDefault="00FA7E0C" w:rsidP="00FA7E0C">
      <w:pPr>
        <w:rPr>
          <w:b/>
          <w:bCs/>
        </w:rPr>
      </w:pPr>
      <w:r w:rsidRPr="00EF03D4">
        <w:rPr>
          <w:rFonts w:hint="eastAsia"/>
          <w:b/>
          <w:bCs/>
        </w:rPr>
        <w:t>小标题：</w:t>
      </w:r>
    </w:p>
    <w:p w14:paraId="4A256E25" w14:textId="2D2A1217" w:rsidR="00FA7E0C" w:rsidRDefault="00FA7E0C" w:rsidP="00FA7E0C">
      <w:r w:rsidRPr="00FA7E0C">
        <w:t>一年内新增个人客户资产管理规模5.25亿元，实现面向个人客户产品销售1200万元，通过定制化资产配置提升客户黏性与业务增长。</w:t>
      </w:r>
    </w:p>
    <w:p w14:paraId="4BA60FD9" w14:textId="77777777" w:rsidR="00FA7E0C" w:rsidRPr="00FA7E0C" w:rsidRDefault="00FA7E0C" w:rsidP="00FA7E0C">
      <w:pPr>
        <w:rPr>
          <w:rFonts w:hint="eastAsia"/>
        </w:rPr>
      </w:pPr>
    </w:p>
    <w:p w14:paraId="18FF61BA" w14:textId="77777777" w:rsidR="00FA7E0C" w:rsidRDefault="00FA7E0C" w:rsidP="00FA7E0C">
      <w:pPr>
        <w:rPr>
          <w:b/>
          <w:bCs/>
        </w:rPr>
      </w:pPr>
      <w:r w:rsidRPr="00EF03D4">
        <w:rPr>
          <w:rFonts w:hint="eastAsia"/>
          <w:b/>
          <w:bCs/>
        </w:rPr>
        <w:t>正文（二级界面）：</w:t>
      </w:r>
    </w:p>
    <w:p w14:paraId="04F76E7B" w14:textId="77777777" w:rsidR="009104D2" w:rsidRDefault="009104D2" w:rsidP="00FA7E0C">
      <w:pPr>
        <w:rPr>
          <w:rFonts w:hint="eastAsia"/>
          <w:b/>
          <w:bCs/>
        </w:rPr>
      </w:pPr>
    </w:p>
    <w:p w14:paraId="41CBE872" w14:textId="77777777" w:rsidR="009104D2" w:rsidRDefault="009104D2" w:rsidP="009104D2">
      <w:pPr>
        <w:jc w:val="center"/>
        <w:rPr>
          <w:rFonts w:ascii="黑体" w:eastAsia="黑体" w:hAnsi="黑体"/>
          <w:b/>
          <w:bCs/>
          <w:sz w:val="44"/>
          <w:szCs w:val="44"/>
        </w:rPr>
      </w:pPr>
      <w:r w:rsidRPr="009104D2">
        <w:rPr>
          <w:rFonts w:ascii="黑体" w:eastAsia="黑体" w:hAnsi="黑体"/>
          <w:b/>
          <w:bCs/>
          <w:sz w:val="44"/>
          <w:szCs w:val="44"/>
        </w:rPr>
        <w:t>一年内新增个人客户资产管理规模5.25亿元，实现面向个人客户产品销售1200万元，通过定制化资产配置提升客户黏性与业务增长</w:t>
      </w:r>
    </w:p>
    <w:p w14:paraId="00977AC4" w14:textId="77777777" w:rsidR="009104D2" w:rsidRPr="009104D2" w:rsidRDefault="009104D2" w:rsidP="009104D2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p w14:paraId="46A122F3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高净值客群运营项目，是本人在财富管理转型、个人客户资产配置和跨境综合金融服务方面的重要实践。项目以个人高净值客户、企业主客户、上市公司股东及具备境内外资产配置需求的客户为主要服务对象，围绕客户资产安全、资金效率、家庭财富规划、企业经营资金安排和跨境投资需求，建立了从客户识别、资产诊断、方案设计、产品匹配到长期维护的完整运营链条。</w:t>
      </w:r>
    </w:p>
    <w:p w14:paraId="2EC68D55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一年工作周期内，本人新增个人客户资产管理规模5.25亿元，实现个人客户产品销售1200万元。该成果并非依靠单点式产品推介，而是建立在客户深度沟通、资金周期判断、风险偏好识别和定制化资产配置基础之上。本人在项目中坚持“先诊断、再配置；先解决问题、再推动销售；先建立信任、再形成长期合作”的工作方法，推动客户资产持续沉淀和业务规模稳步增长。</w:t>
      </w:r>
    </w:p>
    <w:p w14:paraId="1228D38B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lastRenderedPageBreak/>
        <w:t>高净值客户的核心诉求通常并不只是“买一款产品”，而是希望在复杂市场环境下实现资产保值、收益提升、风险分散和资金使用效率优化。特别是部分客户同时具有企业经营资金、家庭财富安排和境外资产配置需求，其服务难度明显高于普通零售客户。本人通过客户画像、资金分层和组合配置，将客户分散、模糊、阶段性的金融需求转化为可执行的资产配置方案，提升了客户对专业服务的信任度和资产留存率。</w:t>
      </w:r>
    </w:p>
    <w:p w14:paraId="434830EC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一、以客户画像为基础，建立精细化运营体系</w:t>
      </w:r>
    </w:p>
    <w:p w14:paraId="438994C4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客户运营初期，本人首先对客户进行分类管理，避免以同一套产品话术服务所有客户。本人根据客户资金来源、资产规模、风险承受能力、家庭阶段、企业背景和跨境需求，将重点客户划分为企业主客户、上市公司股东客户、专业投资型客户、家庭财富管理型客户和跨境配置型客户五类，并针对不同类型客户设置差异化服务重点。</w:t>
      </w:r>
    </w:p>
    <w:p w14:paraId="101D048A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对于企业主客户，本人重点关注经营资金与个人资产之间的边界，避免客户将短期周转资金配置到期限不匹配的产品中。对于上市公司股东客户，本人重点关注其大额资金承接、减持后资金安排和资产集中度风险。对于家庭财富管理型客户，本人重点关注子女教育、养老规划、购房支出和家庭长期资金安排。对于跨境配置型客户，本人则重点关注美元资产、境外市场认知、海外支出计划和全球资产分散需求。</w:t>
      </w:r>
    </w:p>
    <w:p w14:paraId="4443D3BC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具体工作中，本人建立重点客户跟踪台账，对客户资金体量、产品持仓、产品到期时间、风险等级、家庭需求、企业资金周期和后续跟进事项进行动态记录。通过这种方式，本人能够在客户资金到期前提前沟通，在客户新增资金到账前提前设计方案，在客户风险偏好变化时及时调整配置建议，避免客户服务停留在被动响应层面。</w:t>
      </w:r>
    </w:p>
    <w:p w14:paraId="791EB693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例如，在维护一名企业主客户时，本人发现其企业每季度存在集中回款，但一个月后又进入原材料采购周期。若仅从产品销售角度看，该客户具备较大配置空间；但从经营周期看，其中相当一部分资金属于短期周转资金。本人据此将客户资金拆分为</w:t>
      </w:r>
      <w:r w:rsidRPr="009104D2">
        <w:lastRenderedPageBreak/>
        <w:t>经营备用金、阶段性闲置资金和长期家庭资产三类，并分别匹配高流动性工具、稳健型产品和中长期配置方案，使客户在保障企业经营的前提下提高资金使用效率。该案例体现了本人对客户资金属性和真实使用场景的判断能力。</w:t>
      </w:r>
    </w:p>
    <w:p w14:paraId="2A4F1918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二、以资产诊断替代产品推销，提升客户信任和转化效率</w:t>
      </w:r>
    </w:p>
    <w:p w14:paraId="37827294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在高净值客户服务中，客户最关注的并非单一产品收益，而是配置是否符合自身资金安排和风险承受能力。因此，本人在客户沟通中不急于推介产品，而是先帮助客户完成资产诊断。</w:t>
      </w:r>
    </w:p>
    <w:p w14:paraId="22726ED6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本人通常从三个方面开展诊断。第一，判断客户未来3个月、6个月和1年内是否存在企业经营、购房、子女教育、税费缴纳或其他刚性支出。第二，分析客户当前资产中现金、存款、理财、基金、股票、股权、不动产、美元资产等配置比例，识别是否存在资金低效闲置或单一资产过度集中问题。第三，结合客户风险测评、投资经验和家庭责任，判断其适合稳健型、均衡型还是进取型配置方案。</w:t>
      </w:r>
    </w:p>
    <w:p w14:paraId="1B12BDC5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服务一名长期持有大量现金和短期存款的客户时，客户最初认为“资金放在账上最安全”。本人没有直接否定客户判断，而是先协助其梳理未来一年资金使用计划。经过分析，客户仅有约20%的资金需要随时使用，另有部分资金在半年内无明确用途。本人据此提出分层配置方案：短期资金保留流动性，中期资金配置低波动稳健型产品，长期资金根据风险承受能力适度配置固收增强或多资产策略产品。客户在理解资金分层逻辑后，逐步接受资产配置建议，并完成部分产品认购。</w:t>
      </w:r>
    </w:p>
    <w:p w14:paraId="3906E09F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另一名曾因权益市场波动产生投资顾虑的客户服务中，本人首先帮助其复盘过往亏损原因，发现问题并非客户完全不能承受风险，而是此前资产过度集中、买入时点单一且缺少组合管理。本人建议其从低波动产品和分批配置方式重新建立投资信心。经过持续沟通，客户最终以较小比例试水，后续逐步提高配置金额。该过程体现出本人能够通过风险教育和资产诊断降低客户心理阻力，提升客户转化效率。</w:t>
      </w:r>
    </w:p>
    <w:p w14:paraId="57E3F420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lastRenderedPageBreak/>
        <w:t>三、跨境个人业务案例：设计全球资产配置方案，体现境内外联动服务能力</w:t>
      </w:r>
    </w:p>
    <w:p w14:paraId="5F194A96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高净值客户运营过程中，本人曾为一名具备跨境配置需求的个人客户出具专项资产配置方案。该客户拥有一定美元资产基础和境外市场认知，希望在一年周期内实现资金稳定增值，同时避免组合过度暴露于单一市场或单一资产风险。针对这一需求，本人围绕客户KYC画像、资金用途、投资期限、风险承受能力和全球市场环境，设计了覆盖权益、债券、黄金、衍生品、结构化票据和QDII产品的综合配置方案。该方案材料包含资产配置意义、客户画像、全天候策略、配置结构、收益测算和结论等内容。</w:t>
      </w:r>
    </w:p>
    <w:p w14:paraId="684F49F6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方案设计中，本人首先向客户说明资产配置的核心意义：不同资产在不同经济周期和市场环境下表现不同，通过组合配置可以分散单一资产波动，提升组合稳定性。基于这一原则，本人参考全天候资产配置思路，将组合设计为多资产、多市场、多币种、多工具并行的结构，以应对美元利率变化、美股波动、黄金价格波动、全球通胀和地缘政治不确定性。</w:t>
      </w:r>
    </w:p>
    <w:p w14:paraId="44D54AAB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具体配置中，本人将客户资金拆分为六个模块：第一，配置10%权益类资产，约43万美元，参与美国科技成长方向；第二，配置20%股票衍生品，约86万美元，采用挂钩美股科技资产的雪球票据，在震荡或温和上涨市场中争取票息收益；第三，配置40%长期美国国债，约173万美元，作为组合防守底仓；第四，配置15%中期美元债类资管计划，增强固定收益配置厚度；第五，配置7.5%挂钩SPDR黄金ETF的保本双赢鲨鱼鳍票据，用于对冲不确定性和通胀风险；第六，配置7.5%中信证券境外私募票据，用于提高组合票息和确定性。</w:t>
      </w:r>
    </w:p>
    <w:p w14:paraId="459E55F7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该方案最终形成“30%权益及权益衍生品+70%债券及票据类资产”的组合结构，既保留权益市场上涨参与机会，也通过美债、美元债、黄金挂钩产品和境外票据构建防守基础。方案测算中，乐观、中性、悲观三种情形分别对应不同收益结果，其中乐观情</w:t>
      </w:r>
      <w:r w:rsidRPr="009104D2">
        <w:lastRenderedPageBreak/>
        <w:t>形年化收益率测算为12.02%，中性情形为8.82%，悲观情形下仍保持约4.15%的正向收益测算。</w:t>
      </w:r>
    </w:p>
    <w:p w14:paraId="6654C862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该案例体现了本人三方面能力。第一，具备跨市场理解能力，能够统筹美股、美债、美元债、黄金、QDII产品和境外私募票据等不同资产类别。第二，具备复杂产品解释能力，能够向客户说明雪球票据、鲨鱼鳍票据、境外私募票据的收益来源、风险触发点和适用场景。第三，具备定制化方案设计能力，能够从客户资金期限、风险偏好和跨境需求出发，形成有理论依据、有产品结构、有收益测算、有风险说明的完整配置方案。</w:t>
      </w:r>
    </w:p>
    <w:p w14:paraId="5D9847C5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四、形成“三账户+跨境卫星仓”配置方法，提升资产管理系统性</w:t>
      </w:r>
    </w:p>
    <w:p w14:paraId="3606272F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在持续客户服务中，本人逐步形成“三账户+跨境卫星仓”的配置方法，用于解决高净值客户资金用途混杂、资产配置分散、投资决策随意的问题。</w:t>
      </w:r>
    </w:p>
    <w:p w14:paraId="251A0F04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流动性账户用于满足短期支出和突发资金需求，重点保障资金安全和可用性。该账户主要承接企业周转资金、家庭日常支出、教育支出、医疗养老和税费缴纳等刚性资金。</w:t>
      </w:r>
    </w:p>
    <w:p w14:paraId="73BED73B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稳健增值账户用于管理中期闲置资金，重点匹配固收类、现金管理类和固收增强类产品，在控制波动的基础上提升资金使用效率。</w:t>
      </w:r>
    </w:p>
    <w:p w14:paraId="7B53D6E9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长期成长账户用于满足客户中长期财富增值和家庭资产传承需求。对于具备较强风险承受能力和投资经验的客户，本人会在适当性匹配基础上，协助其配置权益类、多资产策略或长期配置型产品。</w:t>
      </w:r>
    </w:p>
    <w:p w14:paraId="5A6898D0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跨境卫星仓用于满足客户美元资产管理、海外教育资金安排、境外投资经验延伸和全球资产分散需求。该部分通常不作为组合主体，而是在客户可承受范围内，通过美债、美元债、黄金挂钩产品、境外票据和部分权益资产进行补充配置。</w:t>
      </w:r>
    </w:p>
    <w:p w14:paraId="79BB3A40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lastRenderedPageBreak/>
        <w:t>通过这一方法，本人能够帮助客户从“看单个产品收益”转向“看整体资产结构”，从“临时买产品”转向“按用途管理资金”。该方法也成为本人开展高净值客户运营和跨境配置服务的重要工具。</w:t>
      </w:r>
    </w:p>
    <w:p w14:paraId="1EB6AF86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五、实现产品销售1200万元，推动销售结果与客户适配统一</w:t>
      </w:r>
    </w:p>
    <w:p w14:paraId="61786E56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在一年运营周期内，本人实现面向个人客户产品销售1200万元。对于该项成果，本人始终坚持销售结果必须建立在客户适配、风险揭示和资金期限匹配基础之上，避免为完成销售目标而忽视客户真实需求。</w:t>
      </w:r>
    </w:p>
    <w:p w14:paraId="642DBE18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产品销售过程中，本人重点做好三项工作：一是完成客户风险测评和适当性匹配，确保产品风险等级与客户承受能力一致；二是充分说明产品投资方向、收益来源、流动性安排、费用结构和潜在风险；三是做好产品成立后的持续跟踪，及时反馈净值变化、市场波动和客户关切。</w:t>
      </w:r>
    </w:p>
    <w:p w14:paraId="49E28B4A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例如，在一次固收型产品销售中，客户希望配置较大金额，但本人了解到该笔资金三个月后可能用于购房尾款，因此建议客户只配置其中一部分，其余资金保留流动性。虽然该建议降低了当期销售金额，但客户认为本人真正站在其利益角度考虑问题，后续在其他资金到账后主动追加配置。</w:t>
      </w:r>
    </w:p>
    <w:p w14:paraId="1306774B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跨境产品沟通中，本人尤其注重风险解释。面对客户关注美元票据、雪球结构和黄金挂钩产品收益的情况，本人同步说明敲入敲出风险、挂钩标的波动、流动性安排、汇率变化和境外市场风险，避免客户只关注票息而忽略结构性风险。该做法既推动了客户配置，也降低了后续争议风险。</w:t>
      </w:r>
    </w:p>
    <w:p w14:paraId="7A1B30D0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六、通过持续运营提升客户黏性，带动资产回流和转介绍</w:t>
      </w:r>
    </w:p>
    <w:p w14:paraId="002CA117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高净值客户运营的重点不在于第一次成交，而在于长期留存和持续增配。本人在项目中将售后服务作为客户经营的重要组成部分，围绕产品成立、市场波动和产品到</w:t>
      </w:r>
      <w:r w:rsidRPr="009104D2">
        <w:lastRenderedPageBreak/>
        <w:t>期三个节点持续维护客户关系。</w:t>
      </w:r>
    </w:p>
    <w:p w14:paraId="4B2C96D8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产品成立后，本人及时向客户确认交易结果、产品信息和查询方式，降低客户不确定感。市场波动时，本人主动联系客户解释市场变化和产品表现，引导客户从组合角度而非单一产品短期波动看待资产表现。产品到期前，本人提前沟通客户资金用途，判断客户是需要赎回使用、继续配置，还是调整资产结构。</w:t>
      </w:r>
    </w:p>
    <w:p w14:paraId="08A3ABC0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一名客户服务案例中，客户购买产品后遇到市场波动，对净值变化较为紧张。本人第一时间联系客户，结合产品底层资产和市场环境进行解释，并提醒客户从配置周期和整体组合角度看待短期波动。经过持续沟通，客户情绪得到稳定，没有在低位赎回。后续市场修复后，客户不仅继续持有，还主动介绍亲属成为新客户。</w:t>
      </w:r>
    </w:p>
    <w:p w14:paraId="0A0086FF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跨境配置客户维护中，本人进一步增加全球市场跟踪和情景复盘。当美元利率、美股科技股、黄金价格或美债收益率发生波动时，本人从组合角度向客户解释不同资产之间的相互平衡关系，帮助客户理解配置方案的长期逻辑。这种持续陪伴提升了客户黏性，也带动资产回流和转介绍。</w:t>
      </w:r>
    </w:p>
    <w:p w14:paraId="5147987D" w14:textId="77777777" w:rsidR="009104D2" w:rsidRPr="009104D2" w:rsidRDefault="009104D2" w:rsidP="009104D2">
      <w:pPr>
        <w:spacing w:line="560" w:lineRule="exact"/>
        <w:ind w:firstLineChars="200" w:firstLine="440"/>
        <w:rPr>
          <w:b/>
          <w:bCs/>
        </w:rPr>
      </w:pPr>
      <w:r w:rsidRPr="009104D2">
        <w:rPr>
          <w:b/>
          <w:bCs/>
        </w:rPr>
        <w:t>七、项目成效与个人能力体现</w:t>
      </w:r>
    </w:p>
    <w:p w14:paraId="42B1C18F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通过该项目，本人在一年内新增个人客户资产管理规模5.25亿元，实现面向个人客户产品销售1200万元，并通过客户分层、资产诊断、跨境配置和持续运营，提升客户黏性与业务增长质量。</w:t>
      </w:r>
    </w:p>
    <w:p w14:paraId="385B7619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在客户经营能力方面，本人能够根据客户资产规模、资金来源、家庭阶段、企业背景和跨境需求进行分类管理，并通过重点客户台账和“一户一策”服务提高客户维护效率。</w:t>
      </w:r>
    </w:p>
    <w:p w14:paraId="27CE6D2F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在资产配置能力方面，本人能够围绕客户流动性需求、风险承受能力、中长期目标和境内外资产结构，构建“三账户+跨境卫星仓”配置框架，使客户资产管理更加系统</w:t>
      </w:r>
      <w:r w:rsidRPr="009104D2">
        <w:lastRenderedPageBreak/>
        <w:t>化。</w:t>
      </w:r>
    </w:p>
    <w:p w14:paraId="353F5E38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跨境个人业务能力方面，本人能够为客户设计覆盖美股、美债、美元债、黄金ETF挂钩票据、雪球票据和境外私募票据的全球资产配置方案，并通过全天候策略和情景收益测算解释组合逻辑，体现出境内外平台联动和跨市场资产配置能力。</w:t>
      </w:r>
    </w:p>
    <w:p w14:paraId="5B0E6262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在销售转化能力方面，本人实现个人客户产品销售1200万元，但始终坚持销售与适配相统一，通过风险揭示、产品说明和售后跟踪提升业务质量。</w:t>
      </w:r>
    </w:p>
    <w:p w14:paraId="51E133D9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在长期服务能力方面，本人通过市场波动解释、产品到期前沟通、客户家庭需求跟踪和跨境组合复盘，提升客户留存率，并带动客户追加配置、资产回流和转介绍。</w:t>
      </w:r>
    </w:p>
    <w:p w14:paraId="478EFB66" w14:textId="77777777" w:rsidR="009104D2" w:rsidRPr="009104D2" w:rsidRDefault="009104D2" w:rsidP="009104D2">
      <w:pPr>
        <w:spacing w:line="560" w:lineRule="exact"/>
        <w:ind w:firstLineChars="200" w:firstLine="440"/>
      </w:pPr>
      <w:r w:rsidRPr="009104D2">
        <w:t>总体来看，高净值客群运营项目，是本人在财富管理转型背景下的重要实践。通过该项目，本人形成了以客户画像为基础、以资产诊断为入口、以定制化配置为抓手、以跨境能力为延展、以持续运营为支撑、以长期信任为目标的客户经营方法。该经历证明，本人能够在高净值客户服务场景中识别真实需求、设计配置方案、推动资产沉淀、实现产品销售，并在合规稳健基础上促进客户黏性和业务规模双提升。</w:t>
      </w:r>
    </w:p>
    <w:p w14:paraId="128E643B" w14:textId="77777777" w:rsidR="00955D1E" w:rsidRPr="009104D2" w:rsidRDefault="00955D1E" w:rsidP="009104D2">
      <w:pPr>
        <w:spacing w:line="560" w:lineRule="exact"/>
        <w:ind w:firstLineChars="200" w:firstLine="440"/>
      </w:pPr>
    </w:p>
    <w:sectPr w:rsidR="00955D1E" w:rsidRPr="009104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D1E"/>
    <w:rsid w:val="004A64DE"/>
    <w:rsid w:val="009104D2"/>
    <w:rsid w:val="00955D1E"/>
    <w:rsid w:val="00B805AB"/>
    <w:rsid w:val="00BE3643"/>
    <w:rsid w:val="00FA7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09F2BC"/>
  <w15:chartTrackingRefBased/>
  <w15:docId w15:val="{C67406A4-5E00-3E4A-A272-51C27680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D1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5D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D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D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D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D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D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D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D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5D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5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5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5D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5D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5D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5D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5D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5D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5D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5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D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5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5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5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5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5D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5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5D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5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791</Words>
  <Characters>4511</Characters>
  <Application>Microsoft Office Word</Application>
  <DocSecurity>0</DocSecurity>
  <Lines>37</Lines>
  <Paragraphs>10</Paragraphs>
  <ScaleCrop>false</ScaleCrop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HG9835</dc:creator>
  <cp:keywords/>
  <dc:description/>
  <cp:lastModifiedBy>HG9835</cp:lastModifiedBy>
  <cp:revision>3</cp:revision>
  <dcterms:created xsi:type="dcterms:W3CDTF">2026-05-22T11:44:00Z</dcterms:created>
  <dcterms:modified xsi:type="dcterms:W3CDTF">2026-05-22T12:06:00Z</dcterms:modified>
</cp:coreProperties>
</file>