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59D" w:rsidRDefault="00521066">
      <w:pPr>
        <w:rPr>
          <w:rFonts w:ascii="Courier New" w:hAnsi="Courier New" w:cs="Courier New"/>
        </w:rPr>
      </w:pPr>
      <w:r w:rsidRPr="00521066">
        <w:rPr>
          <w:rFonts w:ascii="Courier New" w:hAnsi="Courier New" w:cs="Courier New"/>
        </w:rPr>
        <w:t>gbg.HTG.AIMS.v1</w:t>
      </w:r>
    </w:p>
    <w:p w:rsidR="00521066" w:rsidRDefault="00521066" w:rsidP="00AB1826">
      <w:r>
        <w:t>This function calculates the AIMS subtype (</w:t>
      </w:r>
      <w:proofErr w:type="spellStart"/>
      <w:r>
        <w:t>Paquet</w:t>
      </w:r>
      <w:proofErr w:type="spellEnd"/>
      <w:r>
        <w:t xml:space="preserve"> &amp; </w:t>
      </w:r>
      <w:proofErr w:type="spellStart"/>
      <w:r>
        <w:t>Hallett</w:t>
      </w:r>
      <w:proofErr w:type="spellEnd"/>
      <w:r>
        <w:t xml:space="preserve">, </w:t>
      </w:r>
      <w:r w:rsidR="00CA65FA">
        <w:t xml:space="preserve">JNCI J </w:t>
      </w:r>
      <w:proofErr w:type="spellStart"/>
      <w:r w:rsidR="00CA65FA">
        <w:t>Natl</w:t>
      </w:r>
      <w:proofErr w:type="spellEnd"/>
      <w:r w:rsidR="00CA65FA">
        <w:t xml:space="preserve"> Cancer </w:t>
      </w:r>
      <w:proofErr w:type="spellStart"/>
      <w:r w:rsidR="00CA65FA">
        <w:t>Inst</w:t>
      </w:r>
      <w:proofErr w:type="spellEnd"/>
      <w:r w:rsidR="00CA65FA">
        <w:t xml:space="preserve"> 107, </w:t>
      </w:r>
      <w:r w:rsidRPr="00521066">
        <w:t>2015</w:t>
      </w:r>
      <w:r>
        <w:t xml:space="preserve">) from data from the HTG </w:t>
      </w:r>
      <w:proofErr w:type="spellStart"/>
      <w:r w:rsidRPr="00521066">
        <w:t>EdgeSeq</w:t>
      </w:r>
      <w:proofErr w:type="spellEnd"/>
      <w:r w:rsidRPr="00521066">
        <w:t xml:space="preserve"> Oncology Biomarker Panel</w:t>
      </w:r>
      <w:r>
        <w:t>.</w:t>
      </w:r>
    </w:p>
    <w:p w:rsidR="00521066" w:rsidRDefault="00F44789" w:rsidP="00AB1826">
      <w:r>
        <w:t>The HTG data must be count values (not normalized values). Positive controls, negative controls and PCLs (alien probe sets with prefix “ER-“) must be omitted; housekeeping genes must be included; the total number of genes</w:t>
      </w:r>
      <w:r w:rsidR="00CA65FA">
        <w:t xml:space="preserve"> (probe sets)</w:t>
      </w:r>
      <w:r>
        <w:t xml:space="preserve"> is 2549, see </w:t>
      </w:r>
      <w:r w:rsidRPr="00F44789">
        <w:rPr>
          <w:rFonts w:ascii="Courier New" w:hAnsi="Courier New" w:cs="Courier New"/>
        </w:rPr>
        <w:t>gbg.HTG.normalize.v1</w:t>
      </w:r>
      <w:r>
        <w:t xml:space="preserve"> or “</w:t>
      </w:r>
      <w:r w:rsidRPr="00F44789">
        <w:t>Normalizing_HTG_data_V2.0.pdf</w:t>
      </w:r>
      <w:r>
        <w:t>” for details.</w:t>
      </w:r>
    </w:p>
    <w:p w:rsidR="00F44789" w:rsidRDefault="00F44789" w:rsidP="00AB1826">
      <w:r>
        <w:t>When calculating the AIMS subtype all genes are considered</w:t>
      </w:r>
      <w:r w:rsidR="00A218E9">
        <w:t xml:space="preserve"> that are</w:t>
      </w:r>
      <w:r>
        <w:t xml:space="preserve"> used </w:t>
      </w:r>
      <w:r w:rsidR="00A10EAB">
        <w:t>by AIMS and contained in the HTG panel; in total 91 genes and 42 rules are used. The calculation is performed as Pfizer did for the PALOMA-3 data (as a reference).</w:t>
      </w:r>
    </w:p>
    <w:p w:rsidR="00A218E9" w:rsidRDefault="00A218E9" w:rsidP="003C12B3">
      <w:r>
        <w:t>R versions: V3.3.2</w:t>
      </w:r>
    </w:p>
    <w:p w:rsidR="00B258A9" w:rsidRDefault="00B258A9" w:rsidP="003C12B3">
      <w:pPr>
        <w:rPr>
          <w:rFonts w:ascii="Courier New" w:hAnsi="Courier New" w:cs="Courier New"/>
        </w:rPr>
      </w:pPr>
      <w:r>
        <w:t xml:space="preserve">Libraries: </w:t>
      </w:r>
      <w:r w:rsidR="00A218E9">
        <w:rPr>
          <w:rFonts w:ascii="Courier New" w:hAnsi="Courier New" w:cs="Courier New"/>
        </w:rPr>
        <w:t>AIMS</w:t>
      </w:r>
      <w:r w:rsidR="00A218E9">
        <w:t xml:space="preserve"> (</w:t>
      </w:r>
      <w:r w:rsidR="00A218E9" w:rsidRPr="00A218E9">
        <w:t>V1.6.0)</w:t>
      </w:r>
    </w:p>
    <w:p w:rsidR="000C74C0" w:rsidRDefault="000C74C0" w:rsidP="003C12B3">
      <w:pPr>
        <w:rPr>
          <w:rFonts w:ascii="Courier New" w:hAnsi="Courier New" w:cs="Courier New"/>
        </w:rPr>
      </w:pPr>
      <w:r w:rsidRPr="000C74C0">
        <w:t>Dependencies:</w:t>
      </w:r>
      <w:r w:rsidR="00A218E9">
        <w:t xml:space="preserve"> none</w:t>
      </w:r>
    </w:p>
    <w:p w:rsidR="007602FC" w:rsidRDefault="007602FC" w:rsidP="007602FC">
      <w:r>
        <w:t>Owner: Karsten Weber</w:t>
      </w:r>
    </w:p>
    <w:p w:rsidR="00B258A9" w:rsidRDefault="00B258A9" w:rsidP="00B258A9">
      <w:r>
        <w:t>Parameters: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417"/>
        <w:gridCol w:w="1134"/>
        <w:gridCol w:w="4644"/>
      </w:tblGrid>
      <w:tr w:rsidR="001B50DD" w:rsidRPr="00B258A9" w:rsidTr="00DF54E9">
        <w:trPr>
          <w:cantSplit/>
          <w:tblHeader/>
        </w:trPr>
        <w:tc>
          <w:tcPr>
            <w:tcW w:w="2093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Name</w:t>
            </w:r>
          </w:p>
        </w:tc>
        <w:tc>
          <w:tcPr>
            <w:tcW w:w="1417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Values</w:t>
            </w:r>
          </w:p>
        </w:tc>
        <w:tc>
          <w:tcPr>
            <w:tcW w:w="1134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Default</w:t>
            </w:r>
          </w:p>
        </w:tc>
        <w:tc>
          <w:tcPr>
            <w:tcW w:w="4644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Description</w:t>
            </w:r>
          </w:p>
        </w:tc>
      </w:tr>
      <w:tr w:rsidR="001B50DD" w:rsidTr="00DF54E9">
        <w:trPr>
          <w:cantSplit/>
          <w:trHeight w:val="53"/>
        </w:trPr>
        <w:tc>
          <w:tcPr>
            <w:tcW w:w="2093" w:type="dxa"/>
          </w:tcPr>
          <w:p w:rsidR="00AF74DB" w:rsidRPr="00FF1DAE" w:rsidRDefault="004F2328" w:rsidP="00B258A9">
            <w:pPr>
              <w:rPr>
                <w:rFonts w:ascii="Courier New" w:hAnsi="Courier New" w:cs="Courier New"/>
              </w:rPr>
            </w:pPr>
            <w:proofErr w:type="spellStart"/>
            <w:r w:rsidRPr="004F2328">
              <w:rPr>
                <w:rFonts w:ascii="Courier New" w:hAnsi="Courier New" w:cs="Courier New"/>
              </w:rPr>
              <w:t>counts.mat</w:t>
            </w:r>
            <w:proofErr w:type="spellEnd"/>
          </w:p>
        </w:tc>
        <w:tc>
          <w:tcPr>
            <w:tcW w:w="1417" w:type="dxa"/>
          </w:tcPr>
          <w:p w:rsidR="00AF74DB" w:rsidRDefault="004F2328" w:rsidP="00B258A9">
            <w:r>
              <w:t xml:space="preserve">integer matrix, </w:t>
            </w:r>
            <w:proofErr w:type="spellStart"/>
            <w:r>
              <w:t>ncol</w:t>
            </w:r>
            <w:proofErr w:type="spellEnd"/>
            <w:r>
              <w:t>=2549</w:t>
            </w:r>
          </w:p>
        </w:tc>
        <w:tc>
          <w:tcPr>
            <w:tcW w:w="1134" w:type="dxa"/>
          </w:tcPr>
          <w:p w:rsidR="00AF74DB" w:rsidRPr="00FF1DAE" w:rsidRDefault="00AF74DB" w:rsidP="004A5253">
            <w:pPr>
              <w:rPr>
                <w:rFonts w:ascii="Courier New" w:hAnsi="Courier New" w:cs="Courier New"/>
              </w:rPr>
            </w:pPr>
            <w:r>
              <w:t>&lt;</w:t>
            </w:r>
            <w:r w:rsidR="004A5253">
              <w:t>must be specified</w:t>
            </w:r>
            <w:r>
              <w:t>&gt;</w:t>
            </w:r>
          </w:p>
        </w:tc>
        <w:tc>
          <w:tcPr>
            <w:tcW w:w="4644" w:type="dxa"/>
          </w:tcPr>
          <w:p w:rsidR="00AF74DB" w:rsidRDefault="00EF418F" w:rsidP="00460930">
            <w:r>
              <w:t xml:space="preserve">Count values (gene expressions) from the </w:t>
            </w:r>
            <w:r>
              <w:t xml:space="preserve">HTG </w:t>
            </w:r>
            <w:proofErr w:type="spellStart"/>
            <w:r w:rsidRPr="00521066">
              <w:t>EdgeSeq</w:t>
            </w:r>
            <w:proofErr w:type="spellEnd"/>
            <w:r w:rsidRPr="00521066">
              <w:t xml:space="preserve"> Oncology Biomarker Panel</w:t>
            </w:r>
            <w:r>
              <w:t>.</w:t>
            </w:r>
          </w:p>
          <w:p w:rsidR="00CA65FA" w:rsidRDefault="00CA65FA" w:rsidP="00EF418F"/>
          <w:p w:rsidR="00CA65FA" w:rsidRDefault="00EF418F" w:rsidP="00CA65FA">
            <w:r>
              <w:t>Each matrix column corresponds to a gene (probe set</w:t>
            </w:r>
            <w:r w:rsidR="00CA65FA">
              <w:t xml:space="preserve">); column names should equal the probe set names as defined by the HTG panel (only the names of the 91 genes used by AIMS need to be present). </w:t>
            </w:r>
            <w:r w:rsidR="00CA65FA">
              <w:t xml:space="preserve">Positive controls, negative controls and PCLs (alien probe sets with prefix “ER-“) </w:t>
            </w:r>
            <w:r w:rsidR="00CA65FA">
              <w:t>should</w:t>
            </w:r>
            <w:r w:rsidR="00CA65FA">
              <w:t xml:space="preserve"> be omitted; housekeeping genes </w:t>
            </w:r>
            <w:r w:rsidR="00CA65FA">
              <w:t>should</w:t>
            </w:r>
            <w:r w:rsidR="00CA65FA">
              <w:t xml:space="preserve"> be included.</w:t>
            </w:r>
          </w:p>
          <w:p w:rsidR="00CA65FA" w:rsidRDefault="00CA65FA" w:rsidP="00EF418F"/>
          <w:p w:rsidR="00CA65FA" w:rsidRDefault="00CA65FA" w:rsidP="00EF418F">
            <w:r>
              <w:t xml:space="preserve">Each matrix row corresponds to a sample. Row names are used to identify samples: They are contained in the returned </w:t>
            </w:r>
            <w:proofErr w:type="spellStart"/>
            <w:r>
              <w:t>data.frame</w:t>
            </w:r>
            <w:proofErr w:type="spellEnd"/>
            <w:r>
              <w:t xml:space="preserve"> (see below).</w:t>
            </w:r>
          </w:p>
        </w:tc>
      </w:tr>
      <w:tr w:rsidR="001B50DD" w:rsidTr="00DF54E9">
        <w:trPr>
          <w:cantSplit/>
        </w:trPr>
        <w:tc>
          <w:tcPr>
            <w:tcW w:w="2093" w:type="dxa"/>
          </w:tcPr>
          <w:p w:rsidR="00B258A9" w:rsidRPr="00FF1DAE" w:rsidRDefault="004F2328" w:rsidP="004F2328">
            <w:pPr>
              <w:rPr>
                <w:rFonts w:ascii="Courier New" w:hAnsi="Courier New" w:cs="Courier New"/>
              </w:rPr>
            </w:pPr>
            <w:proofErr w:type="spellStart"/>
            <w:r w:rsidRPr="004F2328">
              <w:rPr>
                <w:rFonts w:ascii="Courier New" w:hAnsi="Courier New" w:cs="Courier New"/>
              </w:rPr>
              <w:t>published.names</w:t>
            </w:r>
            <w:proofErr w:type="spellEnd"/>
          </w:p>
        </w:tc>
        <w:tc>
          <w:tcPr>
            <w:tcW w:w="1417" w:type="dxa"/>
          </w:tcPr>
          <w:p w:rsidR="00B258A9" w:rsidRDefault="00C80D35" w:rsidP="00B258A9">
            <w:r>
              <w:t>logical scalar</w:t>
            </w:r>
          </w:p>
        </w:tc>
        <w:tc>
          <w:tcPr>
            <w:tcW w:w="1134" w:type="dxa"/>
          </w:tcPr>
          <w:p w:rsidR="00B258A9" w:rsidRPr="00FF1DAE" w:rsidRDefault="004F2328" w:rsidP="00B258A9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T</w:t>
            </w:r>
          </w:p>
        </w:tc>
        <w:tc>
          <w:tcPr>
            <w:tcW w:w="4644" w:type="dxa"/>
          </w:tcPr>
          <w:p w:rsidR="00CA65FA" w:rsidRDefault="00CA65FA" w:rsidP="008E5945">
            <w:r>
              <w:t xml:space="preserve">Determines which kind of names for the five AIMS subtypes are used in the </w:t>
            </w:r>
            <w:proofErr w:type="spellStart"/>
            <w:r>
              <w:t>data.frame</w:t>
            </w:r>
            <w:proofErr w:type="spellEnd"/>
            <w:r>
              <w:t xml:space="preserve"> returned. Value </w:t>
            </w:r>
            <w:r w:rsidRPr="00CA65FA">
              <w:rPr>
                <w:rFonts w:ascii="Courier New" w:hAnsi="Courier New" w:cs="Courier New"/>
              </w:rPr>
              <w:t>TRUE</w:t>
            </w:r>
            <w:r>
              <w:t xml:space="preserve"> uses subtype names used in the publication </w:t>
            </w:r>
            <w:r w:rsidR="008E5945">
              <w:t>(</w:t>
            </w:r>
            <w:proofErr w:type="spellStart"/>
            <w:r w:rsidR="008E5945">
              <w:t>Paquet</w:t>
            </w:r>
            <w:proofErr w:type="spellEnd"/>
            <w:r w:rsidR="008E5945">
              <w:t xml:space="preserve"> &amp; </w:t>
            </w:r>
            <w:proofErr w:type="spellStart"/>
            <w:r w:rsidR="008E5945">
              <w:t>Hallett</w:t>
            </w:r>
            <w:proofErr w:type="spellEnd"/>
            <w:r w:rsidR="008E5945">
              <w:t xml:space="preserve">, JNCI J </w:t>
            </w:r>
            <w:proofErr w:type="spellStart"/>
            <w:r w:rsidR="008E5945">
              <w:t>Natl</w:t>
            </w:r>
            <w:proofErr w:type="spellEnd"/>
            <w:r w:rsidR="008E5945">
              <w:t xml:space="preserve"> Cancer </w:t>
            </w:r>
            <w:proofErr w:type="spellStart"/>
            <w:r w:rsidR="008E5945">
              <w:t>Inst</w:t>
            </w:r>
            <w:proofErr w:type="spellEnd"/>
            <w:r w:rsidR="008E5945">
              <w:t xml:space="preserve"> 107, </w:t>
            </w:r>
            <w:r w:rsidR="008E5945" w:rsidRPr="00521066">
              <w:t>2015</w:t>
            </w:r>
            <w:r w:rsidR="008E5945">
              <w:t>)</w:t>
            </w:r>
            <w:r w:rsidR="008E5945">
              <w:t xml:space="preserve"> (table 2); value </w:t>
            </w:r>
            <w:r w:rsidR="008E5945">
              <w:rPr>
                <w:rFonts w:ascii="Courier New" w:hAnsi="Courier New" w:cs="Courier New"/>
              </w:rPr>
              <w:t>FALSE</w:t>
            </w:r>
            <w:r w:rsidR="008E5945">
              <w:t xml:space="preserve"> uses</w:t>
            </w:r>
            <w:r w:rsidR="008E5945">
              <w:t xml:space="preserve"> subtype names as returned by the R package “AIMS” (same authors). </w:t>
            </w:r>
            <w:r>
              <w:t>See also below.</w:t>
            </w:r>
          </w:p>
        </w:tc>
      </w:tr>
    </w:tbl>
    <w:p w:rsidR="001D666F" w:rsidRDefault="001D666F" w:rsidP="00B258A9"/>
    <w:p w:rsidR="001D666F" w:rsidRDefault="001D666F">
      <w:r>
        <w:br w:type="page"/>
      </w:r>
    </w:p>
    <w:p w:rsidR="003E71CE" w:rsidRDefault="003E71CE" w:rsidP="00B258A9">
      <w:r>
        <w:lastRenderedPageBreak/>
        <w:t>Returns:</w:t>
      </w:r>
    </w:p>
    <w:p w:rsidR="003E71CE" w:rsidRDefault="003E71CE" w:rsidP="003E71CE">
      <w:r>
        <w:t xml:space="preserve">The function returns a </w:t>
      </w:r>
      <w:proofErr w:type="spellStart"/>
      <w:r>
        <w:t>data.frame</w:t>
      </w:r>
      <w:proofErr w:type="spellEnd"/>
      <w:r w:rsidR="00A85399">
        <w:t xml:space="preserve"> with each row corresponding to a sample and</w:t>
      </w:r>
      <w:r>
        <w:t xml:space="preserve"> with the following columns:</w:t>
      </w:r>
    </w:p>
    <w:tbl>
      <w:tblPr>
        <w:tblStyle w:val="Tabellenraster"/>
        <w:tblW w:w="9322" w:type="dxa"/>
        <w:tblLayout w:type="fixed"/>
        <w:tblLook w:val="04A0" w:firstRow="1" w:lastRow="0" w:firstColumn="1" w:lastColumn="0" w:noHBand="0" w:noVBand="1"/>
      </w:tblPr>
      <w:tblGrid>
        <w:gridCol w:w="2518"/>
        <w:gridCol w:w="2410"/>
        <w:gridCol w:w="1134"/>
        <w:gridCol w:w="3260"/>
      </w:tblGrid>
      <w:tr w:rsidR="007001DA" w:rsidRPr="00B258A9" w:rsidTr="001D666F">
        <w:trPr>
          <w:cantSplit/>
          <w:tblHeader/>
        </w:trPr>
        <w:tc>
          <w:tcPr>
            <w:tcW w:w="2518" w:type="dxa"/>
          </w:tcPr>
          <w:p w:rsidR="007001DA" w:rsidRPr="00B258A9" w:rsidRDefault="007001DA" w:rsidP="0012476A">
            <w:pPr>
              <w:rPr>
                <w:b/>
              </w:rPr>
            </w:pPr>
            <w:r w:rsidRPr="00B258A9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 w:rsidRPr="004F2328">
              <w:rPr>
                <w:rFonts w:ascii="Courier New" w:hAnsi="Courier New" w:cs="Courier New"/>
              </w:rPr>
              <w:t>published.names</w:t>
            </w:r>
            <w:proofErr w:type="spellEnd"/>
            <w:r>
              <w:rPr>
                <w:rFonts w:ascii="Courier New" w:hAnsi="Courier New" w:cs="Courier New"/>
              </w:rPr>
              <w:t>=F</w:t>
            </w:r>
            <w:r>
              <w:t>)</w:t>
            </w:r>
          </w:p>
        </w:tc>
        <w:tc>
          <w:tcPr>
            <w:tcW w:w="2410" w:type="dxa"/>
          </w:tcPr>
          <w:p w:rsidR="007001DA" w:rsidRPr="00B258A9" w:rsidRDefault="007001DA" w:rsidP="0012476A">
            <w:pPr>
              <w:rPr>
                <w:b/>
              </w:rPr>
            </w:pPr>
            <w:r w:rsidRPr="00B258A9">
              <w:rPr>
                <w:b/>
              </w:rPr>
              <w:t>Name</w:t>
            </w:r>
            <w:r>
              <w:rPr>
                <w:b/>
              </w:rPr>
              <w:t xml:space="preserve"> </w:t>
            </w:r>
            <w:r>
              <w:t>(</w:t>
            </w:r>
            <w:proofErr w:type="spellStart"/>
            <w:r w:rsidRPr="004F2328">
              <w:rPr>
                <w:rFonts w:ascii="Courier New" w:hAnsi="Courier New" w:cs="Courier New"/>
              </w:rPr>
              <w:t>published.names</w:t>
            </w:r>
            <w:proofErr w:type="spellEnd"/>
            <w:r w:rsidR="00A85399">
              <w:rPr>
                <w:rFonts w:ascii="Courier New" w:hAnsi="Courier New" w:cs="Courier New"/>
              </w:rPr>
              <w:t>=T</w:t>
            </w:r>
            <w:r>
              <w:t>)</w:t>
            </w:r>
          </w:p>
        </w:tc>
        <w:tc>
          <w:tcPr>
            <w:tcW w:w="1134" w:type="dxa"/>
          </w:tcPr>
          <w:p w:rsidR="007001DA" w:rsidRPr="00B258A9" w:rsidRDefault="007001DA" w:rsidP="0012476A">
            <w:pPr>
              <w:rPr>
                <w:b/>
              </w:rPr>
            </w:pPr>
            <w:r w:rsidRPr="00B258A9">
              <w:rPr>
                <w:b/>
              </w:rPr>
              <w:t>Values</w:t>
            </w:r>
          </w:p>
        </w:tc>
        <w:tc>
          <w:tcPr>
            <w:tcW w:w="3260" w:type="dxa"/>
          </w:tcPr>
          <w:p w:rsidR="007001DA" w:rsidRPr="00B258A9" w:rsidRDefault="007001DA" w:rsidP="0012476A">
            <w:pPr>
              <w:rPr>
                <w:b/>
              </w:rPr>
            </w:pPr>
            <w:r w:rsidRPr="00B258A9">
              <w:rPr>
                <w:b/>
              </w:rPr>
              <w:t>Description</w:t>
            </w:r>
          </w:p>
        </w:tc>
      </w:tr>
      <w:tr w:rsidR="007001DA" w:rsidTr="001D666F">
        <w:trPr>
          <w:cantSplit/>
          <w:trHeight w:val="53"/>
        </w:trPr>
        <w:tc>
          <w:tcPr>
            <w:tcW w:w="4928" w:type="dxa"/>
            <w:gridSpan w:val="2"/>
          </w:tcPr>
          <w:p w:rsidR="007001DA" w:rsidRPr="00A85399" w:rsidRDefault="007001DA" w:rsidP="0012476A">
            <w:pPr>
              <w:rPr>
                <w:rFonts w:ascii="Courier New" w:hAnsi="Courier New" w:cs="Courier New"/>
              </w:rPr>
            </w:pPr>
            <w:r w:rsidRPr="00A85399">
              <w:rPr>
                <w:rFonts w:ascii="Courier New" w:hAnsi="Courier New" w:cs="Courier New"/>
              </w:rPr>
              <w:t>ID</w:t>
            </w:r>
          </w:p>
        </w:tc>
        <w:tc>
          <w:tcPr>
            <w:tcW w:w="1134" w:type="dxa"/>
          </w:tcPr>
          <w:p w:rsidR="007001DA" w:rsidRDefault="001D666F" w:rsidP="0012476A">
            <w:r>
              <w:t>character</w:t>
            </w:r>
          </w:p>
        </w:tc>
        <w:tc>
          <w:tcPr>
            <w:tcW w:w="3260" w:type="dxa"/>
          </w:tcPr>
          <w:p w:rsidR="007001DA" w:rsidRDefault="00D0438D" w:rsidP="00D0438D">
            <w:r>
              <w:t xml:space="preserve">Sample identifier. These are the row names of parameter </w:t>
            </w:r>
            <w:proofErr w:type="spellStart"/>
            <w:r w:rsidRPr="004F2328">
              <w:rPr>
                <w:rFonts w:ascii="Courier New" w:hAnsi="Courier New" w:cs="Courier New"/>
              </w:rPr>
              <w:t>counts.mat</w:t>
            </w:r>
            <w:proofErr w:type="spellEnd"/>
            <w:r>
              <w:t xml:space="preserve"> (same order).</w:t>
            </w:r>
          </w:p>
        </w:tc>
      </w:tr>
      <w:tr w:rsidR="007001DA" w:rsidTr="001D666F">
        <w:trPr>
          <w:cantSplit/>
        </w:trPr>
        <w:tc>
          <w:tcPr>
            <w:tcW w:w="4928" w:type="dxa"/>
            <w:gridSpan w:val="2"/>
          </w:tcPr>
          <w:p w:rsidR="007001DA" w:rsidRPr="00A85399" w:rsidRDefault="007001DA" w:rsidP="0012476A">
            <w:pPr>
              <w:rPr>
                <w:rFonts w:ascii="Courier New" w:hAnsi="Courier New" w:cs="Courier New"/>
              </w:rPr>
            </w:pPr>
            <w:proofErr w:type="spellStart"/>
            <w:r w:rsidRPr="00A85399">
              <w:rPr>
                <w:rFonts w:ascii="Courier New" w:hAnsi="Courier New" w:cs="Courier New"/>
              </w:rPr>
              <w:t>AIMS_class</w:t>
            </w:r>
            <w:proofErr w:type="spellEnd"/>
          </w:p>
        </w:tc>
        <w:tc>
          <w:tcPr>
            <w:tcW w:w="1134" w:type="dxa"/>
          </w:tcPr>
          <w:p w:rsidR="007001DA" w:rsidRDefault="001D666F" w:rsidP="0012476A">
            <w:r>
              <w:t>character</w:t>
            </w:r>
          </w:p>
        </w:tc>
        <w:tc>
          <w:tcPr>
            <w:tcW w:w="3260" w:type="dxa"/>
          </w:tcPr>
          <w:p w:rsidR="007001DA" w:rsidRDefault="001D666F" w:rsidP="0012476A">
            <w:r>
              <w:t>AIMS subtype with the highest posterior probability.</w:t>
            </w:r>
          </w:p>
          <w:p w:rsidR="001D666F" w:rsidRDefault="001D666F" w:rsidP="0012476A">
            <w:r>
              <w:t xml:space="preserve">The AIMS subtype name also depends on parameter. </w:t>
            </w:r>
            <w:proofErr w:type="spellStart"/>
            <w:r w:rsidRPr="004F2328">
              <w:rPr>
                <w:rFonts w:ascii="Courier New" w:hAnsi="Courier New" w:cs="Courier New"/>
              </w:rPr>
              <w:t>published.names</w:t>
            </w:r>
            <w:proofErr w:type="spellEnd"/>
            <w:r>
              <w:t>.</w:t>
            </w:r>
          </w:p>
        </w:tc>
      </w:tr>
      <w:tr w:rsidR="001D666F" w:rsidTr="001D666F">
        <w:trPr>
          <w:cantSplit/>
        </w:trPr>
        <w:tc>
          <w:tcPr>
            <w:tcW w:w="2518" w:type="dxa"/>
          </w:tcPr>
          <w:p w:rsidR="001D666F" w:rsidRPr="00A85399" w:rsidRDefault="001D666F" w:rsidP="0012476A">
            <w:pPr>
              <w:rPr>
                <w:rFonts w:ascii="Courier New" w:hAnsi="Courier New" w:cs="Courier New"/>
              </w:rPr>
            </w:pPr>
            <w:proofErr w:type="spellStart"/>
            <w:r w:rsidRPr="00A85399">
              <w:rPr>
                <w:rFonts w:ascii="Courier New" w:hAnsi="Courier New" w:cs="Courier New"/>
              </w:rPr>
              <w:t>AIMS_p_Basal</w:t>
            </w:r>
            <w:proofErr w:type="spellEnd"/>
          </w:p>
        </w:tc>
        <w:tc>
          <w:tcPr>
            <w:tcW w:w="2410" w:type="dxa"/>
          </w:tcPr>
          <w:p w:rsidR="001D666F" w:rsidRPr="00A85399" w:rsidRDefault="001D666F" w:rsidP="0012476A">
            <w:pPr>
              <w:rPr>
                <w:rFonts w:ascii="Courier New" w:hAnsi="Courier New" w:cs="Courier New"/>
              </w:rPr>
            </w:pPr>
            <w:proofErr w:type="spellStart"/>
            <w:r w:rsidRPr="00A85399">
              <w:rPr>
                <w:rFonts w:ascii="Courier New" w:hAnsi="Courier New" w:cs="Courier New"/>
              </w:rPr>
              <w:t>AIMS_p_BasalL</w:t>
            </w:r>
            <w:proofErr w:type="spellEnd"/>
          </w:p>
        </w:tc>
        <w:tc>
          <w:tcPr>
            <w:tcW w:w="1134" w:type="dxa"/>
          </w:tcPr>
          <w:p w:rsidR="001D666F" w:rsidRDefault="001D666F" w:rsidP="0012476A">
            <w:r>
              <w:t>double</w:t>
            </w:r>
          </w:p>
        </w:tc>
        <w:tc>
          <w:tcPr>
            <w:tcW w:w="3260" w:type="dxa"/>
            <w:vMerge w:val="restart"/>
          </w:tcPr>
          <w:p w:rsidR="001D666F" w:rsidRDefault="001D666F" w:rsidP="001D666F">
            <w:r>
              <w:t xml:space="preserve">Posterior probabilities of each AIMS subtype. The five numbers are from the interval [0, 1] and sum up to 1. </w:t>
            </w:r>
          </w:p>
        </w:tc>
      </w:tr>
      <w:tr w:rsidR="001D666F" w:rsidTr="001D666F">
        <w:trPr>
          <w:cantSplit/>
        </w:trPr>
        <w:tc>
          <w:tcPr>
            <w:tcW w:w="2518" w:type="dxa"/>
          </w:tcPr>
          <w:p w:rsidR="001D666F" w:rsidRPr="00A85399" w:rsidRDefault="001D666F" w:rsidP="0012476A">
            <w:pPr>
              <w:rPr>
                <w:rFonts w:ascii="Courier New" w:hAnsi="Courier New" w:cs="Courier New"/>
              </w:rPr>
            </w:pPr>
            <w:r w:rsidRPr="00A85399">
              <w:rPr>
                <w:rFonts w:ascii="Courier New" w:hAnsi="Courier New" w:cs="Courier New"/>
              </w:rPr>
              <w:t>AIMS_p_Her2</w:t>
            </w:r>
          </w:p>
        </w:tc>
        <w:tc>
          <w:tcPr>
            <w:tcW w:w="2410" w:type="dxa"/>
          </w:tcPr>
          <w:p w:rsidR="001D666F" w:rsidRPr="00A85399" w:rsidRDefault="001D666F" w:rsidP="0012476A">
            <w:pPr>
              <w:rPr>
                <w:rFonts w:ascii="Courier New" w:hAnsi="Courier New" w:cs="Courier New"/>
              </w:rPr>
            </w:pPr>
            <w:r w:rsidRPr="00A85399">
              <w:rPr>
                <w:rFonts w:ascii="Courier New" w:hAnsi="Courier New" w:cs="Courier New"/>
              </w:rPr>
              <w:t>AIMS_p_HER2E</w:t>
            </w:r>
          </w:p>
        </w:tc>
        <w:tc>
          <w:tcPr>
            <w:tcW w:w="1134" w:type="dxa"/>
          </w:tcPr>
          <w:p w:rsidR="001D666F" w:rsidRDefault="001D666F" w:rsidP="0012476A">
            <w:r>
              <w:t>double</w:t>
            </w:r>
          </w:p>
        </w:tc>
        <w:tc>
          <w:tcPr>
            <w:tcW w:w="3260" w:type="dxa"/>
            <w:vMerge/>
          </w:tcPr>
          <w:p w:rsidR="001D666F" w:rsidRDefault="001D666F" w:rsidP="0012476A"/>
        </w:tc>
      </w:tr>
      <w:tr w:rsidR="001D666F" w:rsidTr="001D666F">
        <w:trPr>
          <w:cantSplit/>
        </w:trPr>
        <w:tc>
          <w:tcPr>
            <w:tcW w:w="2518" w:type="dxa"/>
          </w:tcPr>
          <w:p w:rsidR="001D666F" w:rsidRPr="00A85399" w:rsidRDefault="001D666F" w:rsidP="0012476A">
            <w:pPr>
              <w:rPr>
                <w:rFonts w:ascii="Courier New" w:hAnsi="Courier New" w:cs="Courier New"/>
              </w:rPr>
            </w:pPr>
            <w:proofErr w:type="spellStart"/>
            <w:r w:rsidRPr="00A85399">
              <w:rPr>
                <w:rFonts w:ascii="Courier New" w:hAnsi="Courier New" w:cs="Courier New"/>
              </w:rPr>
              <w:t>AIMS_p_LumA</w:t>
            </w:r>
            <w:proofErr w:type="spellEnd"/>
          </w:p>
        </w:tc>
        <w:tc>
          <w:tcPr>
            <w:tcW w:w="2410" w:type="dxa"/>
          </w:tcPr>
          <w:p w:rsidR="001D666F" w:rsidRPr="00A85399" w:rsidRDefault="001D666F" w:rsidP="0012476A">
            <w:pPr>
              <w:rPr>
                <w:rFonts w:ascii="Courier New" w:hAnsi="Courier New" w:cs="Courier New"/>
              </w:rPr>
            </w:pPr>
            <w:proofErr w:type="spellStart"/>
            <w:r w:rsidRPr="00A85399">
              <w:rPr>
                <w:rFonts w:ascii="Courier New" w:hAnsi="Courier New" w:cs="Courier New"/>
              </w:rPr>
              <w:t>AIMS_p_LumA</w:t>
            </w:r>
            <w:proofErr w:type="spellEnd"/>
          </w:p>
        </w:tc>
        <w:tc>
          <w:tcPr>
            <w:tcW w:w="1134" w:type="dxa"/>
          </w:tcPr>
          <w:p w:rsidR="001D666F" w:rsidRDefault="001D666F" w:rsidP="0012476A">
            <w:r>
              <w:t>double</w:t>
            </w:r>
          </w:p>
        </w:tc>
        <w:tc>
          <w:tcPr>
            <w:tcW w:w="3260" w:type="dxa"/>
            <w:vMerge/>
          </w:tcPr>
          <w:p w:rsidR="001D666F" w:rsidRDefault="001D666F" w:rsidP="0012476A"/>
        </w:tc>
      </w:tr>
      <w:tr w:rsidR="001D666F" w:rsidTr="001D666F">
        <w:trPr>
          <w:cantSplit/>
        </w:trPr>
        <w:tc>
          <w:tcPr>
            <w:tcW w:w="2518" w:type="dxa"/>
          </w:tcPr>
          <w:p w:rsidR="001D666F" w:rsidRPr="00A85399" w:rsidRDefault="001D666F" w:rsidP="0012476A">
            <w:pPr>
              <w:rPr>
                <w:rFonts w:ascii="Courier New" w:hAnsi="Courier New" w:cs="Courier New"/>
              </w:rPr>
            </w:pPr>
            <w:proofErr w:type="spellStart"/>
            <w:r w:rsidRPr="00A85399">
              <w:rPr>
                <w:rFonts w:ascii="Courier New" w:hAnsi="Courier New" w:cs="Courier New"/>
              </w:rPr>
              <w:t>AIMS_p_LumB</w:t>
            </w:r>
            <w:proofErr w:type="spellEnd"/>
          </w:p>
        </w:tc>
        <w:tc>
          <w:tcPr>
            <w:tcW w:w="2410" w:type="dxa"/>
          </w:tcPr>
          <w:p w:rsidR="001D666F" w:rsidRPr="00A85399" w:rsidRDefault="001D666F" w:rsidP="0012476A">
            <w:pPr>
              <w:rPr>
                <w:rFonts w:ascii="Courier New" w:hAnsi="Courier New" w:cs="Courier New"/>
              </w:rPr>
            </w:pPr>
            <w:proofErr w:type="spellStart"/>
            <w:r w:rsidRPr="00A85399">
              <w:rPr>
                <w:rFonts w:ascii="Courier New" w:hAnsi="Courier New" w:cs="Courier New"/>
              </w:rPr>
              <w:t>AIMS_p_LumB</w:t>
            </w:r>
            <w:proofErr w:type="spellEnd"/>
          </w:p>
        </w:tc>
        <w:tc>
          <w:tcPr>
            <w:tcW w:w="1134" w:type="dxa"/>
          </w:tcPr>
          <w:p w:rsidR="001D666F" w:rsidRDefault="001D666F" w:rsidP="0012476A">
            <w:r>
              <w:t>double</w:t>
            </w:r>
          </w:p>
        </w:tc>
        <w:tc>
          <w:tcPr>
            <w:tcW w:w="3260" w:type="dxa"/>
            <w:vMerge/>
          </w:tcPr>
          <w:p w:rsidR="001D666F" w:rsidRDefault="001D666F" w:rsidP="0012476A"/>
        </w:tc>
      </w:tr>
      <w:tr w:rsidR="001D666F" w:rsidTr="001D666F">
        <w:trPr>
          <w:cantSplit/>
        </w:trPr>
        <w:tc>
          <w:tcPr>
            <w:tcW w:w="2518" w:type="dxa"/>
          </w:tcPr>
          <w:p w:rsidR="001D666F" w:rsidRPr="00A85399" w:rsidRDefault="001D666F" w:rsidP="0012476A">
            <w:pPr>
              <w:rPr>
                <w:rFonts w:ascii="Courier New" w:hAnsi="Courier New" w:cs="Courier New"/>
              </w:rPr>
            </w:pPr>
            <w:proofErr w:type="spellStart"/>
            <w:r w:rsidRPr="00A85399">
              <w:rPr>
                <w:rFonts w:ascii="Courier New" w:hAnsi="Courier New" w:cs="Courier New"/>
              </w:rPr>
              <w:t>AIMS_p_Normal</w:t>
            </w:r>
            <w:proofErr w:type="spellEnd"/>
          </w:p>
        </w:tc>
        <w:tc>
          <w:tcPr>
            <w:tcW w:w="2410" w:type="dxa"/>
          </w:tcPr>
          <w:p w:rsidR="001D666F" w:rsidRPr="00A85399" w:rsidRDefault="001D666F" w:rsidP="0012476A">
            <w:pPr>
              <w:rPr>
                <w:rFonts w:ascii="Courier New" w:hAnsi="Courier New" w:cs="Courier New"/>
              </w:rPr>
            </w:pPr>
            <w:proofErr w:type="spellStart"/>
            <w:r w:rsidRPr="00A85399">
              <w:rPr>
                <w:rFonts w:ascii="Courier New" w:hAnsi="Courier New" w:cs="Courier New"/>
              </w:rPr>
              <w:t>AIMS_p_NormL</w:t>
            </w:r>
            <w:proofErr w:type="spellEnd"/>
          </w:p>
        </w:tc>
        <w:tc>
          <w:tcPr>
            <w:tcW w:w="1134" w:type="dxa"/>
          </w:tcPr>
          <w:p w:rsidR="001D666F" w:rsidRDefault="001D666F" w:rsidP="0012476A">
            <w:r>
              <w:t>double</w:t>
            </w:r>
          </w:p>
        </w:tc>
        <w:tc>
          <w:tcPr>
            <w:tcW w:w="3260" w:type="dxa"/>
            <w:vMerge/>
          </w:tcPr>
          <w:p w:rsidR="001D666F" w:rsidRDefault="001D666F" w:rsidP="0012476A"/>
        </w:tc>
      </w:tr>
    </w:tbl>
    <w:p w:rsidR="003E71CE" w:rsidRDefault="003E71CE" w:rsidP="00B258A9"/>
    <w:p w:rsidR="00B258A9" w:rsidRDefault="00555906" w:rsidP="00B258A9">
      <w:r>
        <w:t>Example:</w:t>
      </w:r>
    </w:p>
    <w:p w:rsidR="00A01AC7" w:rsidRPr="00A01AC7" w:rsidRDefault="00A01AC7" w:rsidP="00A01AC7">
      <w:pPr>
        <w:rPr>
          <w:rFonts w:ascii="Courier New" w:hAnsi="Courier New" w:cs="Courier New"/>
        </w:rPr>
      </w:pPr>
      <w:proofErr w:type="spellStart"/>
      <w:r w:rsidRPr="00A01AC7">
        <w:rPr>
          <w:rFonts w:ascii="Courier New" w:hAnsi="Courier New" w:cs="Courier New"/>
        </w:rPr>
        <w:t>d.raw</w:t>
      </w:r>
      <w:proofErr w:type="spellEnd"/>
      <w:r w:rsidRPr="00A01AC7">
        <w:rPr>
          <w:rFonts w:ascii="Courier New" w:hAnsi="Courier New" w:cs="Courier New"/>
        </w:rPr>
        <w:t xml:space="preserve"> &lt;- </w:t>
      </w:r>
      <w:proofErr w:type="gramStart"/>
      <w:r w:rsidRPr="00A01AC7">
        <w:rPr>
          <w:rFonts w:ascii="Courier New" w:hAnsi="Courier New" w:cs="Courier New"/>
        </w:rPr>
        <w:t>read.csv2(</w:t>
      </w:r>
      <w:proofErr w:type="gramEnd"/>
      <w:r w:rsidRPr="00A01AC7">
        <w:rPr>
          <w:rFonts w:ascii="Courier New" w:hAnsi="Courier New" w:cs="Courier New"/>
        </w:rPr>
        <w:t>"G:/</w:t>
      </w:r>
      <w:proofErr w:type="spellStart"/>
      <w:r w:rsidRPr="00A01AC7">
        <w:rPr>
          <w:rFonts w:ascii="Courier New" w:hAnsi="Courier New" w:cs="Courier New"/>
        </w:rPr>
        <w:t>Statistik</w:t>
      </w:r>
      <w:proofErr w:type="spellEnd"/>
      <w:r w:rsidRPr="00A01AC7">
        <w:rPr>
          <w:rFonts w:ascii="Courier New" w:hAnsi="Courier New" w:cs="Courier New"/>
        </w:rPr>
        <w:t>/</w:t>
      </w:r>
      <w:proofErr w:type="spellStart"/>
      <w:r w:rsidRPr="00A01AC7">
        <w:rPr>
          <w:rFonts w:ascii="Courier New" w:hAnsi="Courier New" w:cs="Courier New"/>
        </w:rPr>
        <w:t>Bioinformatik</w:t>
      </w:r>
      <w:proofErr w:type="spellEnd"/>
      <w:r w:rsidRPr="00A01AC7">
        <w:rPr>
          <w:rFonts w:ascii="Courier New" w:hAnsi="Courier New" w:cs="Courier New"/>
        </w:rPr>
        <w:t>/</w:t>
      </w:r>
      <w:proofErr w:type="spellStart"/>
      <w:r w:rsidRPr="00A01AC7">
        <w:rPr>
          <w:rFonts w:ascii="Courier New" w:hAnsi="Courier New" w:cs="Courier New"/>
        </w:rPr>
        <w:t>PenelopeB</w:t>
      </w:r>
      <w:proofErr w:type="spellEnd"/>
      <w:r w:rsidRPr="00A01AC7">
        <w:rPr>
          <w:rFonts w:ascii="Courier New" w:hAnsi="Courier New" w:cs="Courier New"/>
        </w:rPr>
        <w:t xml:space="preserve">/HTG/HTG </w:t>
      </w:r>
      <w:proofErr w:type="spellStart"/>
      <w:r w:rsidRPr="00A01AC7">
        <w:rPr>
          <w:rFonts w:ascii="Courier New" w:hAnsi="Courier New" w:cs="Courier New"/>
        </w:rPr>
        <w:t>Daten</w:t>
      </w:r>
      <w:proofErr w:type="spellEnd"/>
      <w:r w:rsidRPr="00A01AC7">
        <w:rPr>
          <w:rFonts w:ascii="Courier New" w:hAnsi="Courier New" w:cs="Courier New"/>
        </w:rPr>
        <w:t xml:space="preserve"> </w:t>
      </w:r>
      <w:proofErr w:type="spellStart"/>
      <w:r w:rsidRPr="00A01AC7">
        <w:rPr>
          <w:rFonts w:ascii="Courier New" w:hAnsi="Courier New" w:cs="Courier New"/>
        </w:rPr>
        <w:t>aus</w:t>
      </w:r>
      <w:proofErr w:type="spellEnd"/>
      <w:r w:rsidRPr="00A01AC7">
        <w:rPr>
          <w:rFonts w:ascii="Courier New" w:hAnsi="Courier New" w:cs="Courier New"/>
        </w:rPr>
        <w:t xml:space="preserve"> </w:t>
      </w:r>
      <w:proofErr w:type="spellStart"/>
      <w:r w:rsidRPr="00A01AC7">
        <w:rPr>
          <w:rFonts w:ascii="Courier New" w:hAnsi="Courier New" w:cs="Courier New"/>
        </w:rPr>
        <w:t>idgard</w:t>
      </w:r>
      <w:proofErr w:type="spellEnd"/>
      <w:r w:rsidRPr="00A01AC7">
        <w:rPr>
          <w:rFonts w:ascii="Courier New" w:hAnsi="Courier New" w:cs="Courier New"/>
        </w:rPr>
        <w:t xml:space="preserve">/20200413_Penelope_Lauf_1_parsed_data_QCed_Raw.csv",                  </w:t>
      </w:r>
      <w:proofErr w:type="spellStart"/>
      <w:r w:rsidRPr="00A01AC7">
        <w:rPr>
          <w:rFonts w:ascii="Courier New" w:hAnsi="Courier New" w:cs="Courier New"/>
        </w:rPr>
        <w:t>stringsAsFactors</w:t>
      </w:r>
      <w:proofErr w:type="spellEnd"/>
      <w:r w:rsidRPr="00A01AC7">
        <w:rPr>
          <w:rFonts w:ascii="Courier New" w:hAnsi="Courier New" w:cs="Courier New"/>
        </w:rPr>
        <w:t xml:space="preserve"> = F, skip = 9)</w:t>
      </w:r>
    </w:p>
    <w:p w:rsidR="00A01AC7" w:rsidRPr="00A01AC7" w:rsidRDefault="00A01AC7" w:rsidP="00A01AC7">
      <w:pPr>
        <w:rPr>
          <w:rFonts w:ascii="Courier New" w:hAnsi="Courier New" w:cs="Courier New"/>
        </w:rPr>
      </w:pPr>
      <w:proofErr w:type="spellStart"/>
      <w:r w:rsidRPr="00A01AC7">
        <w:rPr>
          <w:rFonts w:ascii="Courier New" w:hAnsi="Courier New" w:cs="Courier New"/>
        </w:rPr>
        <w:t>d.raw</w:t>
      </w:r>
      <w:proofErr w:type="spellEnd"/>
      <w:r w:rsidRPr="00A01AC7">
        <w:rPr>
          <w:rFonts w:ascii="Courier New" w:hAnsi="Courier New" w:cs="Courier New"/>
        </w:rPr>
        <w:t xml:space="preserve"> &lt;- </w:t>
      </w:r>
      <w:proofErr w:type="gramStart"/>
      <w:r w:rsidRPr="00A01AC7">
        <w:rPr>
          <w:rFonts w:ascii="Courier New" w:hAnsi="Courier New" w:cs="Courier New"/>
        </w:rPr>
        <w:t>subset(</w:t>
      </w:r>
      <w:proofErr w:type="spellStart"/>
      <w:proofErr w:type="gramEnd"/>
      <w:r w:rsidRPr="00A01AC7">
        <w:rPr>
          <w:rFonts w:ascii="Courier New" w:hAnsi="Courier New" w:cs="Courier New"/>
        </w:rPr>
        <w:t>d.raw</w:t>
      </w:r>
      <w:proofErr w:type="spellEnd"/>
      <w:r w:rsidRPr="00A01AC7">
        <w:rPr>
          <w:rFonts w:ascii="Courier New" w:hAnsi="Courier New" w:cs="Courier New"/>
        </w:rPr>
        <w:t>, !</w:t>
      </w:r>
      <w:proofErr w:type="spellStart"/>
      <w:r w:rsidRPr="00A01AC7">
        <w:rPr>
          <w:rFonts w:ascii="Courier New" w:hAnsi="Courier New" w:cs="Courier New"/>
        </w:rPr>
        <w:t>grepl</w:t>
      </w:r>
      <w:proofErr w:type="spellEnd"/>
      <w:r w:rsidRPr="00A01AC7">
        <w:rPr>
          <w:rFonts w:ascii="Courier New" w:hAnsi="Courier New" w:cs="Courier New"/>
        </w:rPr>
        <w:t xml:space="preserve">("^Total Counts$|^NEG_CTRL_|^POS_CTRL_|^ER-|^$", </w:t>
      </w:r>
      <w:proofErr w:type="spellStart"/>
      <w:r w:rsidRPr="00A01AC7">
        <w:rPr>
          <w:rFonts w:ascii="Courier New" w:hAnsi="Courier New" w:cs="Courier New"/>
        </w:rPr>
        <w:t>Sample.Name</w:t>
      </w:r>
      <w:proofErr w:type="spellEnd"/>
      <w:r w:rsidRPr="00A01AC7">
        <w:rPr>
          <w:rFonts w:ascii="Courier New" w:hAnsi="Courier New" w:cs="Courier New"/>
        </w:rPr>
        <w:t>))</w:t>
      </w:r>
    </w:p>
    <w:p w:rsidR="00A01AC7" w:rsidRPr="00A01AC7" w:rsidRDefault="00A01AC7" w:rsidP="00A01AC7">
      <w:pPr>
        <w:rPr>
          <w:rFonts w:ascii="Courier New" w:hAnsi="Courier New" w:cs="Courier New"/>
        </w:rPr>
      </w:pPr>
      <w:proofErr w:type="spellStart"/>
      <w:r w:rsidRPr="00A01AC7">
        <w:rPr>
          <w:rFonts w:ascii="Courier New" w:hAnsi="Courier New" w:cs="Courier New"/>
        </w:rPr>
        <w:t>d.counts</w:t>
      </w:r>
      <w:proofErr w:type="spellEnd"/>
      <w:r w:rsidRPr="00A01AC7">
        <w:rPr>
          <w:rFonts w:ascii="Courier New" w:hAnsi="Courier New" w:cs="Courier New"/>
        </w:rPr>
        <w:t xml:space="preserve"> &lt;- </w:t>
      </w:r>
      <w:proofErr w:type="gramStart"/>
      <w:r w:rsidRPr="00A01AC7">
        <w:rPr>
          <w:rFonts w:ascii="Courier New" w:hAnsi="Courier New" w:cs="Courier New"/>
        </w:rPr>
        <w:t>t(</w:t>
      </w:r>
      <w:proofErr w:type="spellStart"/>
      <w:proofErr w:type="gramEnd"/>
      <w:r w:rsidRPr="00A01AC7">
        <w:rPr>
          <w:rFonts w:ascii="Courier New" w:hAnsi="Courier New" w:cs="Courier New"/>
        </w:rPr>
        <w:t>as.matrix</w:t>
      </w:r>
      <w:proofErr w:type="spellEnd"/>
      <w:r w:rsidRPr="00A01AC7">
        <w:rPr>
          <w:rFonts w:ascii="Courier New" w:hAnsi="Courier New" w:cs="Courier New"/>
        </w:rPr>
        <w:t>(</w:t>
      </w:r>
      <w:proofErr w:type="spellStart"/>
      <w:r w:rsidRPr="00A01AC7">
        <w:rPr>
          <w:rFonts w:ascii="Courier New" w:hAnsi="Courier New" w:cs="Courier New"/>
        </w:rPr>
        <w:t>d.raw</w:t>
      </w:r>
      <w:proofErr w:type="spellEnd"/>
      <w:r w:rsidRPr="00A01AC7">
        <w:rPr>
          <w:rFonts w:ascii="Courier New" w:hAnsi="Courier New" w:cs="Courier New"/>
        </w:rPr>
        <w:t>[, -1]))</w:t>
      </w:r>
    </w:p>
    <w:p w:rsidR="00A01AC7" w:rsidRPr="00A01AC7" w:rsidRDefault="00A01AC7" w:rsidP="00A01AC7">
      <w:pPr>
        <w:rPr>
          <w:rFonts w:ascii="Courier New" w:hAnsi="Courier New" w:cs="Courier New"/>
        </w:rPr>
      </w:pPr>
      <w:proofErr w:type="spellStart"/>
      <w:proofErr w:type="gramStart"/>
      <w:r w:rsidRPr="00A01AC7">
        <w:rPr>
          <w:rFonts w:ascii="Courier New" w:hAnsi="Courier New" w:cs="Courier New"/>
        </w:rPr>
        <w:t>colnames</w:t>
      </w:r>
      <w:proofErr w:type="spellEnd"/>
      <w:r w:rsidRPr="00A01AC7">
        <w:rPr>
          <w:rFonts w:ascii="Courier New" w:hAnsi="Courier New" w:cs="Courier New"/>
        </w:rPr>
        <w:t>(</w:t>
      </w:r>
      <w:proofErr w:type="spellStart"/>
      <w:proofErr w:type="gramEnd"/>
      <w:r w:rsidRPr="00A01AC7">
        <w:rPr>
          <w:rFonts w:ascii="Courier New" w:hAnsi="Courier New" w:cs="Courier New"/>
        </w:rPr>
        <w:t>d.counts</w:t>
      </w:r>
      <w:proofErr w:type="spellEnd"/>
      <w:r w:rsidRPr="00A01AC7">
        <w:rPr>
          <w:rFonts w:ascii="Courier New" w:hAnsi="Courier New" w:cs="Courier New"/>
        </w:rPr>
        <w:t>) &lt;- d.raw$"</w:t>
      </w:r>
      <w:proofErr w:type="spellStart"/>
      <w:r w:rsidRPr="00A01AC7">
        <w:rPr>
          <w:rFonts w:ascii="Courier New" w:hAnsi="Courier New" w:cs="Courier New"/>
        </w:rPr>
        <w:t>Sample.Name</w:t>
      </w:r>
      <w:proofErr w:type="spellEnd"/>
      <w:r w:rsidRPr="00A01AC7">
        <w:rPr>
          <w:rFonts w:ascii="Courier New" w:hAnsi="Courier New" w:cs="Courier New"/>
        </w:rPr>
        <w:t>"</w:t>
      </w:r>
    </w:p>
    <w:p w:rsidR="0056079B" w:rsidRDefault="00A01AC7" w:rsidP="00A01AC7">
      <w:pPr>
        <w:rPr>
          <w:rFonts w:ascii="Courier New" w:hAnsi="Courier New" w:cs="Courier New"/>
        </w:rPr>
      </w:pPr>
      <w:proofErr w:type="gramStart"/>
      <w:r w:rsidRPr="00A01AC7">
        <w:rPr>
          <w:rFonts w:ascii="Courier New" w:hAnsi="Courier New" w:cs="Courier New"/>
        </w:rPr>
        <w:t>print(</w:t>
      </w:r>
      <w:proofErr w:type="gramEnd"/>
      <w:r w:rsidRPr="00A01AC7">
        <w:rPr>
          <w:rFonts w:ascii="Courier New" w:hAnsi="Courier New" w:cs="Courier New"/>
        </w:rPr>
        <w:t>gbg.HTG.AIMS.v1(</w:t>
      </w:r>
      <w:proofErr w:type="spellStart"/>
      <w:r w:rsidRPr="00A01AC7">
        <w:rPr>
          <w:rFonts w:ascii="Courier New" w:hAnsi="Courier New" w:cs="Courier New"/>
        </w:rPr>
        <w:t>d.counts</w:t>
      </w:r>
      <w:proofErr w:type="spellEnd"/>
      <w:r w:rsidRPr="00A01AC7">
        <w:rPr>
          <w:rFonts w:ascii="Courier New" w:hAnsi="Courier New" w:cs="Courier New"/>
        </w:rPr>
        <w:t>))</w:t>
      </w:r>
    </w:p>
    <w:p w:rsidR="00A01AC7" w:rsidRDefault="00A01AC7" w:rsidP="00A01AC7">
      <w:bookmarkStart w:id="0" w:name="_GoBack"/>
      <w:bookmarkEnd w:id="0"/>
    </w:p>
    <w:sectPr w:rsidR="00A01A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E5342"/>
    <w:multiLevelType w:val="hybridMultilevel"/>
    <w:tmpl w:val="8F60D33A"/>
    <w:lvl w:ilvl="0" w:tplc="DA78F0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0037D"/>
    <w:multiLevelType w:val="hybridMultilevel"/>
    <w:tmpl w:val="E62E187C"/>
    <w:lvl w:ilvl="0" w:tplc="EF308A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D06"/>
    <w:rsid w:val="0000458F"/>
    <w:rsid w:val="0001405B"/>
    <w:rsid w:val="000247DC"/>
    <w:rsid w:val="00024980"/>
    <w:rsid w:val="00072A28"/>
    <w:rsid w:val="00091F04"/>
    <w:rsid w:val="000A33DB"/>
    <w:rsid w:val="000B4885"/>
    <w:rsid w:val="000C5BF5"/>
    <w:rsid w:val="000C74C0"/>
    <w:rsid w:val="000D11D1"/>
    <w:rsid w:val="000F5455"/>
    <w:rsid w:val="001153B6"/>
    <w:rsid w:val="00120395"/>
    <w:rsid w:val="00125626"/>
    <w:rsid w:val="0014399D"/>
    <w:rsid w:val="00152283"/>
    <w:rsid w:val="00166ADA"/>
    <w:rsid w:val="00170397"/>
    <w:rsid w:val="001A7F7D"/>
    <w:rsid w:val="001B50DD"/>
    <w:rsid w:val="001D666F"/>
    <w:rsid w:val="001F16C8"/>
    <w:rsid w:val="00213261"/>
    <w:rsid w:val="002420B7"/>
    <w:rsid w:val="00242132"/>
    <w:rsid w:val="00256311"/>
    <w:rsid w:val="00264234"/>
    <w:rsid w:val="002704B6"/>
    <w:rsid w:val="002A5429"/>
    <w:rsid w:val="002C0FA6"/>
    <w:rsid w:val="002D3366"/>
    <w:rsid w:val="002D67BB"/>
    <w:rsid w:val="002E21C4"/>
    <w:rsid w:val="002E7F51"/>
    <w:rsid w:val="00312915"/>
    <w:rsid w:val="0036062D"/>
    <w:rsid w:val="00385DF2"/>
    <w:rsid w:val="003A0EC9"/>
    <w:rsid w:val="003C12B3"/>
    <w:rsid w:val="003C6F12"/>
    <w:rsid w:val="003E1DE9"/>
    <w:rsid w:val="003E71CE"/>
    <w:rsid w:val="004105C4"/>
    <w:rsid w:val="00412A79"/>
    <w:rsid w:val="00415FEC"/>
    <w:rsid w:val="00436C1C"/>
    <w:rsid w:val="00460930"/>
    <w:rsid w:val="004760CE"/>
    <w:rsid w:val="004A0784"/>
    <w:rsid w:val="004A4562"/>
    <w:rsid w:val="004A5253"/>
    <w:rsid w:val="004A6A7A"/>
    <w:rsid w:val="004B3594"/>
    <w:rsid w:val="004F0382"/>
    <w:rsid w:val="004F2328"/>
    <w:rsid w:val="004F7B02"/>
    <w:rsid w:val="00505396"/>
    <w:rsid w:val="00521066"/>
    <w:rsid w:val="00535B96"/>
    <w:rsid w:val="00555906"/>
    <w:rsid w:val="0056079B"/>
    <w:rsid w:val="00572DAD"/>
    <w:rsid w:val="0057429C"/>
    <w:rsid w:val="005865C9"/>
    <w:rsid w:val="00596389"/>
    <w:rsid w:val="005D2245"/>
    <w:rsid w:val="005F3EBA"/>
    <w:rsid w:val="005F5EE1"/>
    <w:rsid w:val="006318F9"/>
    <w:rsid w:val="006326DC"/>
    <w:rsid w:val="00632B70"/>
    <w:rsid w:val="00647F29"/>
    <w:rsid w:val="00655AB6"/>
    <w:rsid w:val="006A03D2"/>
    <w:rsid w:val="006C3D06"/>
    <w:rsid w:val="006D693D"/>
    <w:rsid w:val="006D7B04"/>
    <w:rsid w:val="007001DA"/>
    <w:rsid w:val="00701583"/>
    <w:rsid w:val="007102A3"/>
    <w:rsid w:val="00717B1E"/>
    <w:rsid w:val="00750DA4"/>
    <w:rsid w:val="00753DBB"/>
    <w:rsid w:val="007602FC"/>
    <w:rsid w:val="007742DC"/>
    <w:rsid w:val="00781E04"/>
    <w:rsid w:val="00785993"/>
    <w:rsid w:val="007C6890"/>
    <w:rsid w:val="007D25C5"/>
    <w:rsid w:val="00816121"/>
    <w:rsid w:val="00825BEF"/>
    <w:rsid w:val="0083432C"/>
    <w:rsid w:val="00842263"/>
    <w:rsid w:val="008B2EC7"/>
    <w:rsid w:val="008B7D4F"/>
    <w:rsid w:val="008E5945"/>
    <w:rsid w:val="008F2D75"/>
    <w:rsid w:val="00903BC6"/>
    <w:rsid w:val="00907196"/>
    <w:rsid w:val="009570FA"/>
    <w:rsid w:val="009804F1"/>
    <w:rsid w:val="00987E52"/>
    <w:rsid w:val="00987F81"/>
    <w:rsid w:val="009D3DDB"/>
    <w:rsid w:val="009F3715"/>
    <w:rsid w:val="00A01AC7"/>
    <w:rsid w:val="00A10EAB"/>
    <w:rsid w:val="00A218E9"/>
    <w:rsid w:val="00A328A4"/>
    <w:rsid w:val="00A45A5D"/>
    <w:rsid w:val="00A61069"/>
    <w:rsid w:val="00A6652F"/>
    <w:rsid w:val="00A85399"/>
    <w:rsid w:val="00AA495B"/>
    <w:rsid w:val="00AB1826"/>
    <w:rsid w:val="00AC539F"/>
    <w:rsid w:val="00AE2CB5"/>
    <w:rsid w:val="00AF74DB"/>
    <w:rsid w:val="00B258A9"/>
    <w:rsid w:val="00B3717E"/>
    <w:rsid w:val="00B51056"/>
    <w:rsid w:val="00B61B01"/>
    <w:rsid w:val="00B768DF"/>
    <w:rsid w:val="00BB426F"/>
    <w:rsid w:val="00BB57E6"/>
    <w:rsid w:val="00BD3A4E"/>
    <w:rsid w:val="00BF13E9"/>
    <w:rsid w:val="00C014B4"/>
    <w:rsid w:val="00C06ED1"/>
    <w:rsid w:val="00C22C07"/>
    <w:rsid w:val="00C24881"/>
    <w:rsid w:val="00C248CA"/>
    <w:rsid w:val="00C25710"/>
    <w:rsid w:val="00C32ED1"/>
    <w:rsid w:val="00C36F93"/>
    <w:rsid w:val="00C60DC8"/>
    <w:rsid w:val="00C72707"/>
    <w:rsid w:val="00C80D35"/>
    <w:rsid w:val="00C80D91"/>
    <w:rsid w:val="00C83B15"/>
    <w:rsid w:val="00C90CED"/>
    <w:rsid w:val="00CA65FA"/>
    <w:rsid w:val="00CF2D10"/>
    <w:rsid w:val="00CF6CDB"/>
    <w:rsid w:val="00D00CB0"/>
    <w:rsid w:val="00D0302C"/>
    <w:rsid w:val="00D0438D"/>
    <w:rsid w:val="00D04C58"/>
    <w:rsid w:val="00D0701F"/>
    <w:rsid w:val="00D45DAC"/>
    <w:rsid w:val="00D55C15"/>
    <w:rsid w:val="00D56F33"/>
    <w:rsid w:val="00D73F14"/>
    <w:rsid w:val="00D861AC"/>
    <w:rsid w:val="00D97EFD"/>
    <w:rsid w:val="00DA1F4B"/>
    <w:rsid w:val="00DE0612"/>
    <w:rsid w:val="00DF54E9"/>
    <w:rsid w:val="00E2173C"/>
    <w:rsid w:val="00E24763"/>
    <w:rsid w:val="00E76412"/>
    <w:rsid w:val="00E9310D"/>
    <w:rsid w:val="00EA14C1"/>
    <w:rsid w:val="00EB1759"/>
    <w:rsid w:val="00EB52E4"/>
    <w:rsid w:val="00EB60DC"/>
    <w:rsid w:val="00EC0E36"/>
    <w:rsid w:val="00EC5094"/>
    <w:rsid w:val="00EF418F"/>
    <w:rsid w:val="00EF6643"/>
    <w:rsid w:val="00F14F34"/>
    <w:rsid w:val="00F44789"/>
    <w:rsid w:val="00F56EEA"/>
    <w:rsid w:val="00F70415"/>
    <w:rsid w:val="00FE0BBB"/>
    <w:rsid w:val="00FE0BEC"/>
    <w:rsid w:val="00FF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48CA"/>
    <w:rPr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58A9"/>
    <w:pPr>
      <w:ind w:left="720"/>
      <w:contextualSpacing/>
    </w:pPr>
  </w:style>
  <w:style w:type="table" w:styleId="Tabellenraster">
    <w:name w:val="Table Grid"/>
    <w:basedOn w:val="NormaleTabelle"/>
    <w:uiPriority w:val="59"/>
    <w:rsid w:val="00B25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079B"/>
    <w:rPr>
      <w:rFonts w:ascii="Tahoma" w:hAnsi="Tahoma" w:cs="Tahoma"/>
      <w:sz w:val="16"/>
      <w:szCs w:val="16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2A54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48CA"/>
    <w:rPr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58A9"/>
    <w:pPr>
      <w:ind w:left="720"/>
      <w:contextualSpacing/>
    </w:pPr>
  </w:style>
  <w:style w:type="table" w:styleId="Tabellenraster">
    <w:name w:val="Table Grid"/>
    <w:basedOn w:val="NormaleTabelle"/>
    <w:uiPriority w:val="59"/>
    <w:rsid w:val="00B25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079B"/>
    <w:rPr>
      <w:rFonts w:ascii="Tahoma" w:hAnsi="Tahoma" w:cs="Tahoma"/>
      <w:sz w:val="16"/>
      <w:szCs w:val="16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2A54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Weber, Karsten</dc:creator>
  <cp:lastModifiedBy>Weber, Karsten</cp:lastModifiedBy>
  <cp:revision>163</cp:revision>
  <dcterms:created xsi:type="dcterms:W3CDTF">2017-01-04T08:35:00Z</dcterms:created>
  <dcterms:modified xsi:type="dcterms:W3CDTF">2021-05-20T14:28:00Z</dcterms:modified>
</cp:coreProperties>
</file>