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25D1" w14:textId="77777777" w:rsidR="00E24204" w:rsidRPr="00E24204" w:rsidRDefault="00E24204" w:rsidP="00E24204">
      <w:pPr>
        <w:keepNext/>
        <w:keepLines/>
        <w:widowControl w:val="0"/>
        <w:spacing w:before="40" w:after="0" w:line="256" w:lineRule="auto"/>
        <w:outlineLvl w:val="1"/>
        <w:rPr>
          <w:rFonts w:ascii="Calibri Light" w:eastAsia="Yu Gothic Light" w:hAnsi="Calibri Light" w:cs="Times New Roman"/>
          <w:b/>
          <w:bCs/>
          <w:color w:val="2F5496"/>
          <w:sz w:val="26"/>
          <w:szCs w:val="26"/>
        </w:rPr>
      </w:pPr>
      <w:bookmarkStart w:id="0" w:name="_Toc83908892"/>
      <w:bookmarkStart w:id="1" w:name="_Toc83568941"/>
      <w:bookmarkStart w:id="2" w:name="_Toc83053504"/>
      <w:bookmarkStart w:id="3" w:name="_Toc82610012"/>
      <w:bookmarkStart w:id="4" w:name="_Ref80890973"/>
      <w:bookmarkStart w:id="5" w:name="_Toc82622081"/>
      <w:bookmarkEnd w:id="0"/>
      <w:bookmarkEnd w:id="1"/>
      <w:bookmarkEnd w:id="2"/>
      <w:bookmarkEnd w:id="3"/>
      <w:bookmarkEnd w:id="4"/>
      <w:r w:rsidRPr="00E24204">
        <w:rPr>
          <w:rFonts w:ascii="Calibri Light" w:eastAsia="Yu Gothic Light" w:hAnsi="Calibri Light" w:cs="Times New Roman"/>
          <w:b/>
          <w:bCs/>
          <w:color w:val="2F5496"/>
          <w:sz w:val="26"/>
          <w:szCs w:val="26"/>
        </w:rPr>
        <w:t xml:space="preserve">Anhang E: </w:t>
      </w:r>
      <w:proofErr w:type="spellStart"/>
      <w:r w:rsidRPr="00E24204">
        <w:rPr>
          <w:rFonts w:ascii="Calibri Light" w:eastAsia="Yu Gothic Light" w:hAnsi="Calibri Light" w:cs="Times New Roman"/>
          <w:b/>
          <w:bCs/>
          <w:color w:val="2F5496"/>
          <w:sz w:val="26"/>
          <w:szCs w:val="26"/>
        </w:rPr>
        <w:t>Directed</w:t>
      </w:r>
      <w:proofErr w:type="spellEnd"/>
      <w:r w:rsidRPr="00E24204">
        <w:rPr>
          <w:rFonts w:ascii="Calibri Light" w:eastAsia="Yu Gothic Light" w:hAnsi="Calibri Light" w:cs="Times New Roman"/>
          <w:b/>
          <w:bCs/>
          <w:color w:val="2F5496"/>
          <w:sz w:val="26"/>
          <w:szCs w:val="26"/>
        </w:rPr>
        <w:t xml:space="preserve"> </w:t>
      </w:r>
      <w:proofErr w:type="spellStart"/>
      <w:r w:rsidRPr="00E24204">
        <w:rPr>
          <w:rFonts w:ascii="Calibri Light" w:eastAsia="Yu Gothic Light" w:hAnsi="Calibri Light" w:cs="Times New Roman"/>
          <w:b/>
          <w:bCs/>
          <w:color w:val="2F5496"/>
          <w:sz w:val="26"/>
          <w:szCs w:val="26"/>
        </w:rPr>
        <w:t>acyclic</w:t>
      </w:r>
      <w:proofErr w:type="spellEnd"/>
      <w:r w:rsidRPr="00E24204">
        <w:rPr>
          <w:rFonts w:ascii="Calibri Light" w:eastAsia="Yu Gothic Light" w:hAnsi="Calibri Light" w:cs="Times New Roman"/>
          <w:b/>
          <w:bCs/>
          <w:color w:val="2F5496"/>
          <w:sz w:val="26"/>
          <w:szCs w:val="26"/>
        </w:rPr>
        <w:t xml:space="preserve"> </w:t>
      </w:r>
      <w:proofErr w:type="spellStart"/>
      <w:r w:rsidRPr="00E24204">
        <w:rPr>
          <w:rFonts w:ascii="Calibri Light" w:eastAsia="Yu Gothic Light" w:hAnsi="Calibri Light" w:cs="Times New Roman"/>
          <w:b/>
          <w:bCs/>
          <w:color w:val="2F5496"/>
          <w:sz w:val="26"/>
          <w:szCs w:val="26"/>
        </w:rPr>
        <w:t>graph</w:t>
      </w:r>
      <w:proofErr w:type="spellEnd"/>
      <w:r w:rsidRPr="00E24204">
        <w:rPr>
          <w:rFonts w:ascii="Calibri Light" w:eastAsia="Yu Gothic Light" w:hAnsi="Calibri Light" w:cs="Times New Roman"/>
          <w:b/>
          <w:bCs/>
          <w:color w:val="2F5496"/>
          <w:sz w:val="26"/>
          <w:szCs w:val="26"/>
        </w:rPr>
        <w:t xml:space="preserve"> (DAG)</w:t>
      </w:r>
      <w:bookmarkEnd w:id="5"/>
    </w:p>
    <w:p w14:paraId="0CA7AEAD" w14:textId="77777777" w:rsidR="00E24204" w:rsidRPr="00E24204" w:rsidRDefault="00E24204" w:rsidP="00E24204">
      <w:pPr>
        <w:keepNext/>
        <w:spacing w:before="100" w:beforeAutospacing="1" w:line="256" w:lineRule="auto"/>
        <w:rPr>
          <w:rFonts w:ascii="Calibri" w:eastAsia="SimSun" w:hAnsi="Calibri" w:cs="Arial"/>
        </w:rPr>
      </w:pPr>
      <w:r w:rsidRPr="00E24204">
        <w:rPr>
          <w:rFonts w:ascii="Calibri" w:eastAsia="SimSun" w:hAnsi="Calibri" w:cs="Arial"/>
          <w:noProof/>
        </w:rPr>
        <w:drawing>
          <wp:inline distT="0" distB="0" distL="0" distR="0" wp14:anchorId="7D17BB05" wp14:editId="126E9BEA">
            <wp:extent cx="5220970" cy="3510280"/>
            <wp:effectExtent l="0" t="0" r="0" b="0"/>
            <wp:docPr id="2" name="图片 2"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图示&#10;&#10;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20970" cy="3510280"/>
                    </a:xfrm>
                    <a:prstGeom prst="rect">
                      <a:avLst/>
                    </a:prstGeom>
                    <a:noFill/>
                    <a:ln>
                      <a:noFill/>
                    </a:ln>
                  </pic:spPr>
                </pic:pic>
              </a:graphicData>
            </a:graphic>
          </wp:inline>
        </w:drawing>
      </w:r>
      <w:r w:rsidRPr="00E24204">
        <w:rPr>
          <w:rFonts w:ascii="Calibri" w:eastAsia="SimSun" w:hAnsi="Calibri" w:cs="Arial"/>
        </w:rPr>
        <w:t xml:space="preserve"> </w:t>
      </w:r>
    </w:p>
    <w:p w14:paraId="17E4DE1E" w14:textId="77777777" w:rsidR="00E24204" w:rsidRPr="00E24204" w:rsidRDefault="00E24204" w:rsidP="00E24204">
      <w:pPr>
        <w:spacing w:before="100" w:beforeAutospacing="1" w:after="200" w:line="240" w:lineRule="auto"/>
        <w:rPr>
          <w:rFonts w:ascii="Calibri" w:eastAsia="Times New Roman" w:hAnsi="Calibri" w:cs="Arial"/>
          <w:i/>
          <w:iCs/>
          <w:color w:val="44546A"/>
          <w:sz w:val="18"/>
          <w:szCs w:val="18"/>
        </w:rPr>
      </w:pPr>
      <w:r w:rsidRPr="00E24204">
        <w:rPr>
          <w:rFonts w:ascii="Calibri" w:eastAsia="Times New Roman" w:hAnsi="Calibri" w:cs="Arial"/>
          <w:i/>
          <w:iCs/>
          <w:color w:val="44546A"/>
          <w:sz w:val="18"/>
          <w:szCs w:val="18"/>
        </w:rPr>
        <w:t xml:space="preserve">Abbildung 2: Übersicht über Faktoren, welche die Impfbeteiligung beeinflussen, anhand eines </w:t>
      </w:r>
      <w:proofErr w:type="spellStart"/>
      <w:r w:rsidRPr="00E24204">
        <w:rPr>
          <w:rFonts w:ascii="Calibri" w:eastAsia="Times New Roman" w:hAnsi="Calibri" w:cs="Arial"/>
          <w:i/>
          <w:iCs/>
          <w:color w:val="44546A"/>
          <w:sz w:val="18"/>
          <w:szCs w:val="18"/>
        </w:rPr>
        <w:t>directed</w:t>
      </w:r>
      <w:proofErr w:type="spellEnd"/>
      <w:r w:rsidRPr="00E24204">
        <w:rPr>
          <w:rFonts w:ascii="Calibri" w:eastAsia="Times New Roman" w:hAnsi="Calibri" w:cs="Arial"/>
          <w:i/>
          <w:iCs/>
          <w:color w:val="44546A"/>
          <w:sz w:val="18"/>
          <w:szCs w:val="18"/>
        </w:rPr>
        <w:t xml:space="preserve"> </w:t>
      </w:r>
      <w:proofErr w:type="spellStart"/>
      <w:r w:rsidRPr="00E24204">
        <w:rPr>
          <w:rFonts w:ascii="Calibri" w:eastAsia="Times New Roman" w:hAnsi="Calibri" w:cs="Arial"/>
          <w:i/>
          <w:iCs/>
          <w:color w:val="44546A"/>
          <w:sz w:val="18"/>
          <w:szCs w:val="18"/>
        </w:rPr>
        <w:t>acyclic</w:t>
      </w:r>
      <w:proofErr w:type="spellEnd"/>
      <w:r w:rsidRPr="00E24204">
        <w:rPr>
          <w:rFonts w:ascii="Calibri" w:eastAsia="Times New Roman" w:hAnsi="Calibri" w:cs="Arial"/>
          <w:i/>
          <w:iCs/>
          <w:color w:val="44546A"/>
          <w:sz w:val="18"/>
          <w:szCs w:val="18"/>
        </w:rPr>
        <w:t xml:space="preserve"> </w:t>
      </w:r>
      <w:proofErr w:type="spellStart"/>
      <w:r w:rsidRPr="00E24204">
        <w:rPr>
          <w:rFonts w:ascii="Calibri" w:eastAsia="Times New Roman" w:hAnsi="Calibri" w:cs="Arial"/>
          <w:i/>
          <w:iCs/>
          <w:color w:val="44546A"/>
          <w:sz w:val="18"/>
          <w:szCs w:val="18"/>
        </w:rPr>
        <w:t>graph</w:t>
      </w:r>
      <w:proofErr w:type="spellEnd"/>
      <w:r w:rsidRPr="00E24204">
        <w:rPr>
          <w:rFonts w:ascii="Calibri" w:eastAsia="Times New Roman" w:hAnsi="Calibri" w:cs="Arial"/>
          <w:i/>
          <w:iCs/>
          <w:color w:val="44546A"/>
          <w:sz w:val="18"/>
          <w:szCs w:val="18"/>
        </w:rPr>
        <w:t xml:space="preserve"> (DAG)</w:t>
      </w:r>
    </w:p>
    <w:p w14:paraId="4229F260" w14:textId="77777777" w:rsidR="00E24204" w:rsidRPr="00E24204" w:rsidRDefault="00E24204" w:rsidP="00E24204">
      <w:pPr>
        <w:keepNext/>
        <w:keepLines/>
        <w:widowControl w:val="0"/>
        <w:spacing w:before="40" w:after="0" w:line="256" w:lineRule="auto"/>
        <w:outlineLvl w:val="1"/>
        <w:rPr>
          <w:rFonts w:ascii="Calibri Light" w:eastAsia="Yu Gothic Light" w:hAnsi="Calibri Light" w:cs="Times New Roman"/>
          <w:b/>
          <w:bCs/>
          <w:color w:val="2F5496"/>
          <w:sz w:val="26"/>
          <w:szCs w:val="26"/>
        </w:rPr>
      </w:pPr>
      <w:r w:rsidRPr="00E24204">
        <w:rPr>
          <w:rFonts w:ascii="Calibri Light" w:eastAsia="Yu Gothic Light" w:hAnsi="Calibri Light" w:cs="Times New Roman"/>
          <w:b/>
          <w:bCs/>
          <w:color w:val="2F5496"/>
          <w:sz w:val="26"/>
          <w:szCs w:val="26"/>
        </w:rPr>
        <w:t xml:space="preserve"> </w:t>
      </w:r>
    </w:p>
    <w:p w14:paraId="5E441FAB" w14:textId="77777777" w:rsidR="00E24204" w:rsidRPr="00E24204" w:rsidRDefault="00E24204" w:rsidP="00E24204">
      <w:pPr>
        <w:keepNext/>
        <w:keepLines/>
        <w:widowControl w:val="0"/>
        <w:spacing w:before="40" w:after="0" w:line="256" w:lineRule="auto"/>
        <w:outlineLvl w:val="1"/>
        <w:rPr>
          <w:rFonts w:ascii="Calibri Light" w:eastAsia="Yu Gothic Light" w:hAnsi="Calibri Light" w:cs="Times New Roman"/>
          <w:b/>
          <w:bCs/>
          <w:color w:val="FFFFFF"/>
          <w:sz w:val="26"/>
          <w:szCs w:val="26"/>
          <w:lang w:val="en-GB"/>
        </w:rPr>
      </w:pPr>
      <w:bookmarkStart w:id="6" w:name="_Toc83908893"/>
      <w:bookmarkEnd w:id="6"/>
      <w:r w:rsidRPr="00E24204">
        <w:rPr>
          <w:rFonts w:ascii="Calibri Light" w:eastAsia="Yu Gothic Light" w:hAnsi="Calibri Light" w:cs="Times New Roman"/>
          <w:b/>
          <w:bCs/>
          <w:color w:val="2F5496"/>
          <w:sz w:val="26"/>
          <w:szCs w:val="26"/>
          <w:lang w:val="en-GB"/>
        </w:rPr>
        <w:t xml:space="preserve">Anhang F: DAG Literatur </w:t>
      </w:r>
    </w:p>
    <w:p w14:paraId="767FD84E" w14:textId="77777777" w:rsidR="00E24204" w:rsidRPr="00E24204" w:rsidRDefault="00E24204" w:rsidP="00E24204">
      <w:pPr>
        <w:spacing w:before="100" w:beforeAutospacing="1" w:after="0" w:line="256" w:lineRule="auto"/>
        <w:jc w:val="both"/>
        <w:rPr>
          <w:rFonts w:ascii="Calibri" w:eastAsia="SimSun" w:hAnsi="Calibri" w:cs="Arial"/>
          <w:lang w:val="en-GB"/>
        </w:rPr>
      </w:pPr>
      <w:r w:rsidRPr="00E24204">
        <w:rPr>
          <w:rFonts w:ascii="Calibri" w:eastAsia="SimSun" w:hAnsi="Calibri" w:cs="Arial"/>
          <w:lang w:val="en-GB"/>
        </w:rPr>
        <w:t>I.</w:t>
      </w:r>
      <w:r w:rsidRPr="00E24204">
        <w:rPr>
          <w:rFonts w:ascii="Calibri" w:eastAsia="SimSun" w:hAnsi="Calibri" w:cs="Arial"/>
          <w:lang w:val="en-GB"/>
        </w:rPr>
        <w:tab/>
        <w:t>Ames H, Glenton C, Lewin S. Parents' and informal caregivers' views and experiences of communication about routine childhood vaccination: a synthesis of qualitative evidence. The Cochrane database of systematic reviews. 2017;2:CD011787.</w:t>
      </w:r>
    </w:p>
    <w:p w14:paraId="219A2BD6" w14:textId="77777777" w:rsidR="00E24204" w:rsidRPr="00E24204" w:rsidRDefault="00E24204" w:rsidP="00E24204">
      <w:pPr>
        <w:spacing w:before="100" w:beforeAutospacing="1" w:after="0" w:line="256" w:lineRule="auto"/>
        <w:jc w:val="both"/>
        <w:rPr>
          <w:rFonts w:ascii="Calibri" w:eastAsia="SimSun" w:hAnsi="Calibri" w:cs="Arial"/>
          <w:lang w:val="en-GB"/>
        </w:rPr>
      </w:pPr>
      <w:r w:rsidRPr="00E24204">
        <w:rPr>
          <w:rFonts w:ascii="Calibri" w:eastAsia="SimSun" w:hAnsi="Calibri" w:cs="Arial"/>
          <w:lang w:val="en-GB"/>
        </w:rPr>
        <w:t>II.</w:t>
      </w:r>
      <w:r w:rsidRPr="00E24204">
        <w:rPr>
          <w:rFonts w:ascii="Calibri" w:eastAsia="SimSun" w:hAnsi="Calibri" w:cs="Arial"/>
          <w:lang w:val="en-GB"/>
        </w:rPr>
        <w:tab/>
        <w:t>Betsch C, Böhm R, Chapman GB. Using Behavioral Insights to Increase Vaccination Policy Effectiveness. Policy Insights from the Behavioral and Brain Sciences. 2015;2(1):61–73.</w:t>
      </w:r>
    </w:p>
    <w:p w14:paraId="32908231" w14:textId="77777777" w:rsidR="00E24204" w:rsidRPr="00E24204" w:rsidRDefault="00E24204" w:rsidP="00E24204">
      <w:pPr>
        <w:spacing w:before="100" w:beforeAutospacing="1" w:after="0" w:line="256" w:lineRule="auto"/>
        <w:jc w:val="both"/>
        <w:rPr>
          <w:rFonts w:ascii="Calibri" w:eastAsia="SimSun" w:hAnsi="Calibri" w:cs="Arial"/>
        </w:rPr>
      </w:pPr>
      <w:r w:rsidRPr="00E24204">
        <w:rPr>
          <w:rFonts w:ascii="Calibri" w:eastAsia="SimSun" w:hAnsi="Calibri" w:cs="Arial"/>
          <w:lang w:val="en-GB"/>
        </w:rPr>
        <w:t>III.</w:t>
      </w:r>
      <w:r w:rsidRPr="00E24204">
        <w:rPr>
          <w:rFonts w:ascii="Calibri" w:eastAsia="SimSun" w:hAnsi="Calibri" w:cs="Arial"/>
          <w:lang w:val="en-GB"/>
        </w:rPr>
        <w:tab/>
        <w:t xml:space="preserve">Betsch C, Schmid P, Korn L, Steinmeyer L, Heinemeier D, Eitze S, et al. </w:t>
      </w:r>
      <w:r w:rsidRPr="00E24204">
        <w:rPr>
          <w:rFonts w:ascii="Calibri" w:eastAsia="SimSun" w:hAnsi="Calibri" w:cs="Arial"/>
        </w:rPr>
        <w:t>Impfverhalten psychologisch erklären, messen und verändern. Bundesgesundheitsblatt - Gesundheitsforschung - Gesundheitsschutz. 2019;62(4):400–9.</w:t>
      </w:r>
    </w:p>
    <w:p w14:paraId="6CDF5648" w14:textId="77777777" w:rsidR="00E24204" w:rsidRPr="00E24204" w:rsidRDefault="00E24204" w:rsidP="00E24204">
      <w:pPr>
        <w:spacing w:before="100" w:beforeAutospacing="1" w:after="0" w:line="256" w:lineRule="auto"/>
        <w:jc w:val="both"/>
        <w:rPr>
          <w:rFonts w:ascii="Calibri" w:eastAsia="SimSun" w:hAnsi="Calibri" w:cs="Arial"/>
          <w:lang w:val="en-GB"/>
        </w:rPr>
      </w:pPr>
      <w:r w:rsidRPr="00E24204">
        <w:rPr>
          <w:rFonts w:ascii="Calibri" w:eastAsia="SimSun" w:hAnsi="Calibri" w:cs="Arial"/>
        </w:rPr>
        <w:t>IV.</w:t>
      </w:r>
      <w:r w:rsidRPr="00E24204">
        <w:rPr>
          <w:rFonts w:ascii="Calibri" w:eastAsia="SimSun" w:hAnsi="Calibri" w:cs="Arial"/>
        </w:rPr>
        <w:tab/>
        <w:t xml:space="preserve">Bock J-O, Hajek A, König H-H. </w:t>
      </w:r>
      <w:r w:rsidRPr="00E24204">
        <w:rPr>
          <w:rFonts w:ascii="Calibri" w:eastAsia="SimSun" w:hAnsi="Calibri" w:cs="Arial"/>
          <w:lang w:val="en-GB"/>
        </w:rPr>
        <w:t>Psychological determinants of influenza vaccination. BMC Geriatrics. 2017;17(1):194.</w:t>
      </w:r>
    </w:p>
    <w:p w14:paraId="4EFE091B" w14:textId="77777777" w:rsidR="00E24204" w:rsidRPr="00E24204" w:rsidRDefault="00E24204" w:rsidP="00E24204">
      <w:pPr>
        <w:spacing w:before="100" w:beforeAutospacing="1" w:after="0" w:line="256" w:lineRule="auto"/>
        <w:jc w:val="both"/>
        <w:rPr>
          <w:rFonts w:ascii="Calibri" w:eastAsia="SimSun" w:hAnsi="Calibri" w:cs="Arial"/>
        </w:rPr>
      </w:pPr>
      <w:r w:rsidRPr="00E24204">
        <w:rPr>
          <w:rFonts w:ascii="Calibri" w:eastAsia="SimSun" w:hAnsi="Calibri" w:cs="Arial"/>
          <w:lang w:val="en-GB"/>
        </w:rPr>
        <w:t>V.</w:t>
      </w:r>
      <w:r w:rsidRPr="00E24204">
        <w:rPr>
          <w:rFonts w:ascii="Calibri" w:eastAsia="SimSun" w:hAnsi="Calibri" w:cs="Arial"/>
          <w:lang w:val="en-GB"/>
        </w:rPr>
        <w:tab/>
        <w:t xml:space="preserve">Brewer NT, Chapman GB, Rothman AJ, Leask J, Kempe A. Increasing Vaccination: Putting Psychological Science Into Action. Psychological science in the public interest : a journal of the American Psychological Society. </w:t>
      </w:r>
      <w:r w:rsidRPr="00E24204">
        <w:rPr>
          <w:rFonts w:ascii="Calibri" w:eastAsia="SimSun" w:hAnsi="Calibri" w:cs="Arial"/>
        </w:rPr>
        <w:t>2017;18(3):149–207.</w:t>
      </w:r>
    </w:p>
    <w:p w14:paraId="02B041E1" w14:textId="77777777" w:rsidR="00E24204" w:rsidRPr="00E24204" w:rsidRDefault="00E24204" w:rsidP="00E24204">
      <w:pPr>
        <w:spacing w:before="100" w:beforeAutospacing="1" w:after="0" w:line="256" w:lineRule="auto"/>
        <w:jc w:val="both"/>
        <w:rPr>
          <w:rFonts w:ascii="Calibri" w:eastAsia="SimSun" w:hAnsi="Calibri" w:cs="Arial"/>
        </w:rPr>
      </w:pPr>
      <w:r w:rsidRPr="00E24204">
        <w:rPr>
          <w:rFonts w:ascii="Calibri" w:eastAsia="SimSun" w:hAnsi="Calibri" w:cs="Arial"/>
        </w:rPr>
        <w:t>VI.</w:t>
      </w:r>
      <w:r w:rsidRPr="00E24204">
        <w:rPr>
          <w:rFonts w:ascii="Calibri" w:eastAsia="SimSun" w:hAnsi="Calibri" w:cs="Arial"/>
        </w:rPr>
        <w:tab/>
        <w:t xml:space="preserve">Köln </w:t>
      </w:r>
      <w:proofErr w:type="spellStart"/>
      <w:r w:rsidRPr="00E24204">
        <w:rPr>
          <w:rFonts w:ascii="Calibri" w:eastAsia="SimSun" w:hAnsi="Calibri" w:cs="Arial"/>
        </w:rPr>
        <w:t>BfgA</w:t>
      </w:r>
      <w:proofErr w:type="spellEnd"/>
      <w:r w:rsidRPr="00E24204">
        <w:rPr>
          <w:rFonts w:ascii="Calibri" w:eastAsia="SimSun" w:hAnsi="Calibri" w:cs="Arial"/>
        </w:rPr>
        <w:t>. Infektionsschutz - Einstellungen, Wissen und Verhalten von Erwachsenen und Eltern gegenüber Impfungen.</w:t>
      </w:r>
    </w:p>
    <w:p w14:paraId="3EDC0BE3" w14:textId="77777777" w:rsidR="00E24204" w:rsidRPr="00E24204" w:rsidRDefault="00E24204" w:rsidP="00E24204">
      <w:pPr>
        <w:spacing w:before="100" w:beforeAutospacing="1" w:after="0" w:line="256" w:lineRule="auto"/>
        <w:jc w:val="both"/>
        <w:rPr>
          <w:rFonts w:ascii="Calibri" w:eastAsia="SimSun" w:hAnsi="Calibri" w:cs="Arial"/>
          <w:lang w:val="en-GB"/>
        </w:rPr>
      </w:pPr>
      <w:r w:rsidRPr="00E24204">
        <w:rPr>
          <w:rFonts w:ascii="Calibri" w:eastAsia="SimSun" w:hAnsi="Calibri" w:cs="Arial"/>
        </w:rPr>
        <w:lastRenderedPageBreak/>
        <w:t>VII.</w:t>
      </w:r>
      <w:r w:rsidRPr="00E24204">
        <w:rPr>
          <w:rFonts w:ascii="Calibri" w:eastAsia="SimSun" w:hAnsi="Calibri" w:cs="Arial"/>
        </w:rPr>
        <w:tab/>
        <w:t xml:space="preserve">Endrich MM, Blank PR, </w:t>
      </w:r>
      <w:proofErr w:type="spellStart"/>
      <w:r w:rsidRPr="00E24204">
        <w:rPr>
          <w:rFonts w:ascii="Calibri" w:eastAsia="SimSun" w:hAnsi="Calibri" w:cs="Arial"/>
        </w:rPr>
        <w:t>Szucs</w:t>
      </w:r>
      <w:proofErr w:type="spellEnd"/>
      <w:r w:rsidRPr="00E24204">
        <w:rPr>
          <w:rFonts w:ascii="Calibri" w:eastAsia="SimSun" w:hAnsi="Calibri" w:cs="Arial"/>
        </w:rPr>
        <w:t xml:space="preserve"> TD. </w:t>
      </w:r>
      <w:r w:rsidRPr="00E24204">
        <w:rPr>
          <w:rFonts w:ascii="Calibri" w:eastAsia="SimSun" w:hAnsi="Calibri" w:cs="Arial"/>
          <w:lang w:val="en-GB"/>
        </w:rPr>
        <w:t>Influenza vaccination uptake and socioeconomic determinants in 11 European countries. Vaccine. 2009;27(30):4018–24.</w:t>
      </w:r>
    </w:p>
    <w:p w14:paraId="1AC0D152" w14:textId="77777777" w:rsidR="00E24204" w:rsidRPr="00E24204" w:rsidRDefault="00E24204" w:rsidP="00E24204">
      <w:pPr>
        <w:spacing w:before="100" w:beforeAutospacing="1" w:after="0" w:line="256" w:lineRule="auto"/>
        <w:jc w:val="both"/>
        <w:rPr>
          <w:rFonts w:ascii="Calibri" w:eastAsia="SimSun" w:hAnsi="Calibri" w:cs="Arial"/>
          <w:lang w:val="en-GB"/>
        </w:rPr>
      </w:pPr>
      <w:r w:rsidRPr="00E24204">
        <w:rPr>
          <w:rFonts w:ascii="Calibri" w:eastAsia="SimSun" w:hAnsi="Calibri" w:cs="Arial"/>
          <w:lang w:val="en-GB"/>
        </w:rPr>
        <w:t>VIII.</w:t>
      </w:r>
      <w:r w:rsidRPr="00E24204">
        <w:rPr>
          <w:rFonts w:ascii="Calibri" w:eastAsia="SimSun" w:hAnsi="Calibri" w:cs="Arial"/>
          <w:lang w:val="en-GB"/>
        </w:rPr>
        <w:tab/>
        <w:t xml:space="preserve">Logan J, Nederhoff D, Koch B, Griffith B, Wolfson J, Awan FA, et al. </w:t>
      </w:r>
      <w:r w:rsidRPr="00E24204">
        <w:rPr>
          <w:rFonts w:ascii="Calibri" w:eastAsia="SimSun" w:hAnsi="Calibri" w:cs="Arial"/>
        </w:rPr>
        <w:t>'</w:t>
      </w:r>
      <w:proofErr w:type="spellStart"/>
      <w:r w:rsidRPr="00E24204">
        <w:rPr>
          <w:rFonts w:ascii="Calibri" w:eastAsia="SimSun" w:hAnsi="Calibri" w:cs="Arial"/>
        </w:rPr>
        <w:t>What</w:t>
      </w:r>
      <w:proofErr w:type="spellEnd"/>
      <w:r w:rsidRPr="00E24204">
        <w:rPr>
          <w:rFonts w:ascii="Calibri" w:eastAsia="SimSun" w:hAnsi="Calibri" w:cs="Arial"/>
        </w:rPr>
        <w:t xml:space="preserve"> </w:t>
      </w:r>
      <w:proofErr w:type="spellStart"/>
      <w:r w:rsidRPr="00E24204">
        <w:rPr>
          <w:rFonts w:ascii="Calibri" w:eastAsia="SimSun" w:hAnsi="Calibri" w:cs="Arial"/>
        </w:rPr>
        <w:t>have</w:t>
      </w:r>
      <w:proofErr w:type="spellEnd"/>
      <w:r w:rsidRPr="00E24204">
        <w:rPr>
          <w:rFonts w:ascii="Calibri" w:eastAsia="SimSun" w:hAnsi="Calibri" w:cs="Arial"/>
        </w:rPr>
        <w:t xml:space="preserve"> </w:t>
      </w:r>
      <w:proofErr w:type="spellStart"/>
      <w:r w:rsidRPr="00E24204">
        <w:rPr>
          <w:rFonts w:ascii="Calibri" w:eastAsia="SimSun" w:hAnsi="Calibri" w:cs="Arial"/>
        </w:rPr>
        <w:t>you</w:t>
      </w:r>
      <w:proofErr w:type="spellEnd"/>
      <w:r w:rsidRPr="00E24204">
        <w:rPr>
          <w:rFonts w:ascii="Calibri" w:eastAsia="SimSun" w:hAnsi="Calibri" w:cs="Arial"/>
        </w:rPr>
        <w:t xml:space="preserve"> HEARD </w:t>
      </w:r>
      <w:proofErr w:type="spellStart"/>
      <w:r w:rsidRPr="00E24204">
        <w:rPr>
          <w:rFonts w:ascii="Calibri" w:eastAsia="SimSun" w:hAnsi="Calibri" w:cs="Arial"/>
        </w:rPr>
        <w:t>about</w:t>
      </w:r>
      <w:proofErr w:type="spellEnd"/>
      <w:r w:rsidRPr="00E24204">
        <w:rPr>
          <w:rFonts w:ascii="Calibri" w:eastAsia="SimSun" w:hAnsi="Calibri" w:cs="Arial"/>
        </w:rPr>
        <w:t xml:space="preserve"> </w:t>
      </w:r>
      <w:proofErr w:type="spellStart"/>
      <w:r w:rsidRPr="00E24204">
        <w:rPr>
          <w:rFonts w:ascii="Calibri" w:eastAsia="SimSun" w:hAnsi="Calibri" w:cs="Arial"/>
        </w:rPr>
        <w:t>the</w:t>
      </w:r>
      <w:proofErr w:type="spellEnd"/>
      <w:r w:rsidRPr="00E24204">
        <w:rPr>
          <w:rFonts w:ascii="Calibri" w:eastAsia="SimSun" w:hAnsi="Calibri" w:cs="Arial"/>
        </w:rPr>
        <w:t xml:space="preserve"> HERD?' </w:t>
      </w:r>
      <w:r w:rsidRPr="00E24204">
        <w:rPr>
          <w:rFonts w:ascii="Calibri" w:eastAsia="SimSun" w:hAnsi="Calibri" w:cs="Arial"/>
          <w:lang w:val="en-GB"/>
        </w:rPr>
        <w:t>Does education about local influenza vaccination coverage and herd immunity affect willingness to vaccinate? Vaccine. 2018;36(28):4118–25.</w:t>
      </w:r>
    </w:p>
    <w:p w14:paraId="722AF6B3" w14:textId="77777777" w:rsidR="00E24204" w:rsidRPr="00E24204" w:rsidRDefault="00E24204" w:rsidP="00E24204">
      <w:pPr>
        <w:spacing w:before="100" w:beforeAutospacing="1" w:after="0" w:line="256" w:lineRule="auto"/>
        <w:jc w:val="both"/>
        <w:rPr>
          <w:rFonts w:ascii="Calibri" w:eastAsia="SimSun" w:hAnsi="Calibri" w:cs="Arial"/>
          <w:lang w:val="en-GB"/>
        </w:rPr>
      </w:pPr>
      <w:r w:rsidRPr="00E24204">
        <w:rPr>
          <w:rFonts w:ascii="Calibri" w:eastAsia="SimSun" w:hAnsi="Calibri" w:cs="Arial"/>
          <w:lang w:val="en-GB"/>
        </w:rPr>
        <w:t>IX.</w:t>
      </w:r>
      <w:r w:rsidRPr="00E24204">
        <w:rPr>
          <w:rFonts w:ascii="Calibri" w:eastAsia="SimSun" w:hAnsi="Calibri" w:cs="Arial"/>
          <w:lang w:val="en-GB"/>
        </w:rPr>
        <w:tab/>
        <w:t>Mc Conalogue D, Verle N, Ellis H, Scott S. Influenza and vaccination: beliefs and practices of local authority staff. Occupational medicine (Oxford, England). 2019;69(6):445–52.</w:t>
      </w:r>
    </w:p>
    <w:p w14:paraId="75472EE7" w14:textId="77777777" w:rsidR="00E24204" w:rsidRPr="00E24204" w:rsidRDefault="00E24204" w:rsidP="00E24204">
      <w:pPr>
        <w:spacing w:before="100" w:beforeAutospacing="1" w:after="0" w:line="256" w:lineRule="auto"/>
        <w:jc w:val="both"/>
        <w:rPr>
          <w:rFonts w:ascii="Calibri" w:eastAsia="SimSun" w:hAnsi="Calibri" w:cs="Arial"/>
        </w:rPr>
      </w:pPr>
      <w:r w:rsidRPr="00E24204">
        <w:rPr>
          <w:rFonts w:ascii="Calibri" w:eastAsia="SimSun" w:hAnsi="Calibri" w:cs="Arial"/>
          <w:lang w:val="en-GB"/>
        </w:rPr>
        <w:t>X.</w:t>
      </w:r>
      <w:r w:rsidRPr="00E24204">
        <w:rPr>
          <w:rFonts w:ascii="Calibri" w:eastAsia="SimSun" w:hAnsi="Calibri" w:cs="Arial"/>
          <w:lang w:val="en-GB"/>
        </w:rPr>
        <w:tab/>
        <w:t xml:space="preserve">Newman PA, Logie CH, Lacombe-Duncan A, Baiden P, Tepjan S, Rubincam C, et al. Parents' uptake of human papillomavirus vaccines for their children: a systematic review and meta-analysis of observational studies. </w:t>
      </w:r>
      <w:r w:rsidRPr="00E24204">
        <w:rPr>
          <w:rFonts w:ascii="Calibri" w:eastAsia="SimSun" w:hAnsi="Calibri" w:cs="Arial"/>
        </w:rPr>
        <w:t>BMJ open. 2018;8(4</w:t>
      </w:r>
      <w:proofErr w:type="gramStart"/>
      <w:r w:rsidRPr="00E24204">
        <w:rPr>
          <w:rFonts w:ascii="Calibri" w:eastAsia="SimSun" w:hAnsi="Calibri" w:cs="Arial"/>
        </w:rPr>
        <w:t>):e</w:t>
      </w:r>
      <w:proofErr w:type="gramEnd"/>
      <w:r w:rsidRPr="00E24204">
        <w:rPr>
          <w:rFonts w:ascii="Calibri" w:eastAsia="SimSun" w:hAnsi="Calibri" w:cs="Arial"/>
        </w:rPr>
        <w:t>019206.</w:t>
      </w:r>
    </w:p>
    <w:p w14:paraId="46DF5A1D" w14:textId="77777777" w:rsidR="00E24204" w:rsidRPr="00E24204" w:rsidRDefault="00E24204" w:rsidP="00E24204">
      <w:pPr>
        <w:spacing w:before="100" w:beforeAutospacing="1" w:after="0" w:line="256" w:lineRule="auto"/>
        <w:jc w:val="both"/>
        <w:rPr>
          <w:rFonts w:ascii="Calibri" w:eastAsia="SimSun" w:hAnsi="Calibri" w:cs="Arial"/>
          <w:lang w:val="en-GB"/>
        </w:rPr>
      </w:pPr>
      <w:r w:rsidRPr="00E24204">
        <w:rPr>
          <w:rFonts w:ascii="Calibri" w:eastAsia="SimSun" w:hAnsi="Calibri" w:cs="Arial"/>
        </w:rPr>
        <w:t>XI.</w:t>
      </w:r>
      <w:r w:rsidRPr="00E24204">
        <w:rPr>
          <w:rFonts w:ascii="Calibri" w:eastAsia="SimSun" w:hAnsi="Calibri" w:cs="Arial"/>
        </w:rPr>
        <w:tab/>
        <w:t xml:space="preserve">Schmid P, </w:t>
      </w:r>
      <w:proofErr w:type="spellStart"/>
      <w:r w:rsidRPr="00E24204">
        <w:rPr>
          <w:rFonts w:ascii="Calibri" w:eastAsia="SimSun" w:hAnsi="Calibri" w:cs="Arial"/>
        </w:rPr>
        <w:t>Rauber</w:t>
      </w:r>
      <w:proofErr w:type="spellEnd"/>
      <w:r w:rsidRPr="00E24204">
        <w:rPr>
          <w:rFonts w:ascii="Calibri" w:eastAsia="SimSun" w:hAnsi="Calibri" w:cs="Arial"/>
        </w:rPr>
        <w:t xml:space="preserve"> D, Betsch C, </w:t>
      </w:r>
      <w:proofErr w:type="spellStart"/>
      <w:r w:rsidRPr="00E24204">
        <w:rPr>
          <w:rFonts w:ascii="Calibri" w:eastAsia="SimSun" w:hAnsi="Calibri" w:cs="Arial"/>
        </w:rPr>
        <w:t>Lidolt</w:t>
      </w:r>
      <w:proofErr w:type="spellEnd"/>
      <w:r w:rsidRPr="00E24204">
        <w:rPr>
          <w:rFonts w:ascii="Calibri" w:eastAsia="SimSun" w:hAnsi="Calibri" w:cs="Arial"/>
        </w:rPr>
        <w:t xml:space="preserve"> G, Denker M-L. </w:t>
      </w:r>
      <w:r w:rsidRPr="00E24204">
        <w:rPr>
          <w:rFonts w:ascii="Calibri" w:eastAsia="SimSun" w:hAnsi="Calibri" w:cs="Arial"/>
          <w:lang w:val="en-GB"/>
        </w:rPr>
        <w:t>Barriers of Influenza Vaccination Intention and Behavior - A Systematic Review of Influenza Vaccine Hesitancy, 2005 - 2016. PloS one. 2017;12(1):e0170550.</w:t>
      </w:r>
    </w:p>
    <w:p w14:paraId="0190F0AB" w14:textId="77777777" w:rsidR="00E24204" w:rsidRPr="00E24204" w:rsidRDefault="00E24204" w:rsidP="00E24204">
      <w:pPr>
        <w:spacing w:before="100" w:beforeAutospacing="1" w:after="0" w:line="256" w:lineRule="auto"/>
        <w:jc w:val="both"/>
        <w:rPr>
          <w:rFonts w:ascii="Calibri" w:eastAsia="SimSun" w:hAnsi="Calibri" w:cs="Arial"/>
          <w:lang w:val="en-GB"/>
        </w:rPr>
      </w:pPr>
      <w:r w:rsidRPr="00E24204">
        <w:rPr>
          <w:rFonts w:ascii="Calibri" w:eastAsia="SimSun" w:hAnsi="Calibri" w:cs="Arial"/>
          <w:lang w:val="en-GB"/>
        </w:rPr>
        <w:t>XII.</w:t>
      </w:r>
      <w:r w:rsidRPr="00E24204">
        <w:rPr>
          <w:rFonts w:ascii="Calibri" w:eastAsia="SimSun" w:hAnsi="Calibri" w:cs="Arial"/>
          <w:lang w:val="en-GB"/>
        </w:rPr>
        <w:tab/>
        <w:t>Smith LE, Amlôt R, Weinman J, Yiend J, Rubin GJ. A systematic review of factors affecting vaccine uptake in young children. Vaccine. 2017;35(45):6059–69.</w:t>
      </w:r>
    </w:p>
    <w:p w14:paraId="306D7357" w14:textId="77777777" w:rsidR="00E24204" w:rsidRPr="00E24204" w:rsidRDefault="00E24204" w:rsidP="00E24204">
      <w:pPr>
        <w:spacing w:before="100" w:beforeAutospacing="1" w:after="0" w:line="256" w:lineRule="auto"/>
        <w:jc w:val="both"/>
        <w:rPr>
          <w:rFonts w:ascii="Calibri" w:eastAsia="SimSun" w:hAnsi="Calibri" w:cs="Arial"/>
          <w:color w:val="FFFFFF"/>
          <w:lang w:val="en-GB"/>
        </w:rPr>
      </w:pPr>
      <w:r w:rsidRPr="00E24204">
        <w:rPr>
          <w:rFonts w:ascii="Calibri" w:eastAsia="SimSun" w:hAnsi="Calibri" w:cs="Arial"/>
          <w:lang w:val="en-GB"/>
        </w:rPr>
        <w:t>XIII.</w:t>
      </w:r>
      <w:r w:rsidRPr="00E24204">
        <w:rPr>
          <w:rFonts w:ascii="Calibri" w:eastAsia="SimSun" w:hAnsi="Calibri" w:cs="Arial"/>
          <w:lang w:val="en-GB"/>
        </w:rPr>
        <w:tab/>
        <w:t>Stahl J-P, Cohen R, Denis F, Gaudelus J, Martinot A, Lery T, et al. The impact of the web and social networks on vaccination. New challenges and opportunities offered to fight against vaccine hesitancy. Medecine et maladies infectieuses. 2016;46(3):117–22.</w:t>
      </w:r>
    </w:p>
    <w:p w14:paraId="71EE9251" w14:textId="77777777" w:rsidR="00E24204" w:rsidRPr="00E24204" w:rsidRDefault="00E24204" w:rsidP="00E24204">
      <w:pPr>
        <w:spacing w:before="100" w:beforeAutospacing="1" w:after="0" w:line="240" w:lineRule="auto"/>
        <w:jc w:val="both"/>
        <w:rPr>
          <w:rFonts w:ascii="Calibri" w:eastAsia="SimSun" w:hAnsi="Calibri" w:cs="Calibri"/>
        </w:rPr>
      </w:pPr>
      <w:r w:rsidRPr="00E24204">
        <w:rPr>
          <w:rFonts w:ascii="Calibri" w:eastAsia="SimSun" w:hAnsi="Calibri" w:cs="Calibri"/>
          <w:lang w:val="en-GB"/>
        </w:rPr>
        <w:t>XIV.</w:t>
      </w:r>
      <w:r w:rsidRPr="00E24204">
        <w:rPr>
          <w:rFonts w:ascii="Calibri" w:eastAsia="SimSun" w:hAnsi="Calibri" w:cs="Calibri"/>
          <w:lang w:val="en-GB"/>
        </w:rPr>
        <w:tab/>
        <w:t xml:space="preserve">Yuen CYS, Tarrant M. Determinants of uptake of influenza vaccination among pregnant women - a systematic review. </w:t>
      </w:r>
      <w:r w:rsidRPr="00E24204">
        <w:rPr>
          <w:rFonts w:ascii="Calibri" w:eastAsia="SimSun" w:hAnsi="Calibri" w:cs="Calibri"/>
        </w:rPr>
        <w:t>Vaccine. 2014;32(36):4602–13.</w:t>
      </w:r>
    </w:p>
    <w:p w14:paraId="68701E3A" w14:textId="77777777" w:rsidR="00E24204" w:rsidRPr="00E24204" w:rsidRDefault="00E24204" w:rsidP="00E24204">
      <w:pPr>
        <w:spacing w:before="100" w:beforeAutospacing="1" w:after="0" w:line="256" w:lineRule="auto"/>
        <w:jc w:val="both"/>
        <w:rPr>
          <w:rFonts w:ascii="Calibri" w:eastAsia="SimSun" w:hAnsi="Calibri" w:cs="Arial"/>
        </w:rPr>
      </w:pPr>
      <w:r w:rsidRPr="00E24204">
        <w:rPr>
          <w:rFonts w:ascii="Calibri" w:eastAsia="SimSun" w:hAnsi="Calibri" w:cs="Arial"/>
        </w:rPr>
        <w:t xml:space="preserve"> </w:t>
      </w:r>
    </w:p>
    <w:p w14:paraId="304495C6" w14:textId="77777777" w:rsidR="00E24204" w:rsidRPr="00E24204" w:rsidRDefault="00E24204" w:rsidP="00E24204">
      <w:pPr>
        <w:spacing w:before="100" w:beforeAutospacing="1" w:line="256" w:lineRule="auto"/>
        <w:rPr>
          <w:rFonts w:ascii="Calibri" w:eastAsia="SimSun" w:hAnsi="Calibri" w:cs="Arial"/>
        </w:rPr>
      </w:pPr>
      <w:r w:rsidRPr="00E24204">
        <w:rPr>
          <w:rFonts w:ascii="Calibri" w:eastAsia="SimSun" w:hAnsi="Calibri" w:cs="Arial"/>
        </w:rPr>
        <w:t xml:space="preserve"> </w:t>
      </w:r>
    </w:p>
    <w:p w14:paraId="5232ACB0" w14:textId="77777777" w:rsidR="00E24204" w:rsidRPr="00E24204" w:rsidRDefault="00E24204" w:rsidP="00E24204">
      <w:pPr>
        <w:spacing w:before="100" w:beforeAutospacing="1" w:line="256" w:lineRule="auto"/>
        <w:rPr>
          <w:rFonts w:ascii="Calibri" w:eastAsia="SimSun" w:hAnsi="Calibri" w:cs="Arial"/>
        </w:rPr>
      </w:pPr>
      <w:r w:rsidRPr="00E24204">
        <w:rPr>
          <w:rFonts w:ascii="Calibri" w:eastAsia="SimSun" w:hAnsi="Calibri" w:cs="Arial"/>
        </w:rPr>
        <w:t xml:space="preserve"> </w:t>
      </w:r>
    </w:p>
    <w:p w14:paraId="1BC2A79C" w14:textId="77777777" w:rsidR="00A00F9B" w:rsidRDefault="00A00F9B"/>
    <w:sectPr w:rsidR="00A00F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04"/>
    <w:rsid w:val="00A00F9B"/>
    <w:rsid w:val="00E2420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24B8"/>
  <w15:chartTrackingRefBased/>
  <w15:docId w15:val="{6480975E-C31F-4A34-ADD5-922C8CDB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29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2525</Characters>
  <Application>Microsoft Office Word</Application>
  <DocSecurity>0</DocSecurity>
  <Lines>21</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yimeng Zheng</dc:creator>
  <cp:keywords/>
  <dc:description/>
  <cp:lastModifiedBy>yimeng Zheng</cp:lastModifiedBy>
  <cp:revision>1</cp:revision>
  <dcterms:created xsi:type="dcterms:W3CDTF">2022-02-28T10:59:00Z</dcterms:created>
  <dcterms:modified xsi:type="dcterms:W3CDTF">2022-02-28T10:59:00Z</dcterms:modified>
</cp:coreProperties>
</file>