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Funcionamiento de los Creditos Comerciales</w:t>
        <w:br/>
        <w:t>expresados en Unidad de Valor de Credito (UVC)</w:t>
      </w:r>
    </w:p>
    <w:p>
      <w:pPr>
        <w:jc w:val="center"/>
      </w:pPr>
      <w:r>
        <w:rPr>
          <w:color w:val="606060"/>
          <w:sz w:val="24"/>
        </w:rPr>
        <w:t>Formulas, asientos contables, clasificacion de cartera y situaciones operativas</w:t>
        <w:br/>
        <w:t>Documentacion tecnica y regulatoria del simulador de credito</w:t>
      </w:r>
    </w:p>
    <w:p>
      <w:pPr>
        <w:jc w:val="center"/>
      </w:pPr>
      <w:r>
        <w:rPr>
          <w:color w:val="606060"/>
          <w:sz w:val="20"/>
        </w:rPr>
        <w:t>Version 1.0</w:t>
      </w:r>
    </w:p>
    <w:p/>
    <w:p>
      <w:pPr>
        <w:pStyle w:val="Heading2"/>
      </w:pPr>
      <w:r>
        <w:rPr>
          <w:color w:val="1F3A5F"/>
        </w:rPr>
        <w:t>Como leer este documento</w:t>
      </w:r>
    </w:p>
    <w:p>
      <w:r>
        <w:t>Bajo el titulo de cada seccion se indica el origen de la informacion mediante una de estas tres etiquetas:</w:t>
      </w:r>
    </w:p>
    <w:tbl>
      <w:tblPr>
        <w:tblStyle w:val="LightList-Accent1"/>
        <w:tblW w:type="auto" w:w="0"/>
        <w:tblLook w:firstColumn="1" w:firstRow="1" w:lastColumn="0" w:lastRow="0" w:noHBand="0" w:noVBand="1" w:val="04A0"/>
      </w:tblPr>
      <w:tblGrid>
        <w:gridCol w:w="4320"/>
        <w:gridCol w:w="4320"/>
      </w:tblGrid>
      <w:tr>
        <w:tc>
          <w:tcPr>
            <w:tcW w:type="dxa" w:w="3024"/>
          </w:tcPr>
          <w:p>
            <w:r/>
            <w:r>
              <w:rPr>
                <w:b/>
                <w:color w:val="1B5E20"/>
                <w:sz w:val="19"/>
              </w:rPr>
              <w:t>▶ Fuente documental</w:t>
            </w:r>
          </w:p>
        </w:tc>
        <w:tc>
          <w:tcPr>
            <w:tcW w:type="dxa" w:w="6336"/>
          </w:tcPr>
          <w:p>
            <w:r/>
            <w:r>
              <w:rPr>
                <w:sz w:val="19"/>
              </w:rPr>
              <w:t>La informacion proviene de un archivo de la carpeta 'documentacion/' (resoluciones BCV, circulares SUDEBAN, presentacion contable o modelos Excel). Se cita el documento.</w:t>
            </w:r>
          </w:p>
        </w:tc>
      </w:tr>
      <w:tr>
        <w:tc>
          <w:tcPr>
            <w:tcW w:type="dxa" w:w="3024"/>
          </w:tcPr>
          <w:p>
            <w:r/>
            <w:r>
              <w:rPr>
                <w:b/>
                <w:color w:val="1F3A5F"/>
                <w:sz w:val="19"/>
              </w:rPr>
              <w:t>▶ Base en el codigo del proyecto</w:t>
            </w:r>
          </w:p>
        </w:tc>
        <w:tc>
          <w:tcPr>
            <w:tcW w:type="dxa" w:w="6336"/>
          </w:tcPr>
          <w:p>
            <w:r/>
            <w:r>
              <w:rPr>
                <w:sz w:val="19"/>
              </w:rPr>
              <w:t>La informacion describe como esta implementado el calculo en el codigo (src/lib/simulator.js y regulatory.js).</w:t>
            </w:r>
          </w:p>
        </w:tc>
      </w:tr>
      <w:tr>
        <w:tc>
          <w:tcPr>
            <w:tcW w:type="dxa" w:w="3024"/>
          </w:tcPr>
          <w:p>
            <w:r/>
            <w:r>
              <w:rPr>
                <w:b/>
                <w:color w:val="9A5200"/>
                <w:sz w:val="19"/>
              </w:rPr>
              <w:t>▶ Elaboracion propia</w:t>
            </w:r>
          </w:p>
        </w:tc>
        <w:tc>
          <w:tcPr>
            <w:tcW w:type="dxa" w:w="6336"/>
          </w:tcPr>
          <w:p>
            <w:r/>
            <w:r>
              <w:rPr>
                <w:sz w:val="19"/>
              </w:rPr>
              <w:t>La informacion NO consta en la documentacion entregada: es un criterio o supuesto creado por el asistente para completar el modelo.</w:t>
            </w:r>
          </w:p>
        </w:tc>
      </w:tr>
    </w:tbl>
    <w:p>
      <w:r>
        <w:br w:type="page"/>
      </w:r>
    </w:p>
    <w:p>
      <w:pPr>
        <w:pStyle w:val="Heading1"/>
      </w:pPr>
      <w:r>
        <w:rPr>
          <w:color w:val="1F3A5F"/>
        </w:rPr>
        <w:t>1. Introduccion y alcance</w:t>
      </w:r>
    </w:p>
    <w:p>
      <w:pPr>
        <w:spacing w:after="160"/>
      </w:pPr>
      <w:r>
        <w:rPr>
          <w:b/>
          <w:i/>
          <w:color w:val="9A5200"/>
          <w:sz w:val="18"/>
        </w:rPr>
        <w:t xml:space="preserve">▶ Elaboracion propia (no consta en la documentacion; creado por el asistente): </w:t>
      </w:r>
      <w:r>
        <w:rPr>
          <w:i/>
          <w:color w:val="606060"/>
          <w:sz w:val="18"/>
        </w:rPr>
        <w:t>Sintesis redactada por el asistente a partir del conjunto del proyecto.</w:t>
      </w:r>
    </w:p>
    <w:p>
      <w:r>
        <w:t>Este documento describe como debe funcionar un credito comercial expresado en Unidad de Valor de Credito (UVC). En la normativa original de 2019 esta unidad se denomino 'Unidad de Valor de Credito Comercial'; la norma vigente (Resolucion 21-01-02 de 2021) la nombra simplemente UVC, termino que se usa en todo este documento. Cubre las formulas de calculo, el desglose de la cuota, la mora, la clasificacion de la cartera, los asientos contables, el tratamiento del credito vencido, la cancelacion anticipada y distintas situaciones operativas.</w:t>
      </w:r>
    </w:p>
    <w:p>
      <w:r>
        <w:t>El objetivo es que cualquier persona (negocio, contabilidad o desarrollo) entienda el modelo completo y pueda auditar cada numero contra su fundamento.</w:t>
      </w:r>
    </w:p>
    <w:p>
      <w:pPr>
        <w:pStyle w:val="Heading1"/>
      </w:pPr>
      <w:r>
        <w:rPr>
          <w:color w:val="1F3A5F"/>
        </w:rPr>
        <w:t>2. Marco regulatorio de referencia</w:t>
      </w:r>
    </w:p>
    <w:p>
      <w:pPr>
        <w:spacing w:after="160"/>
      </w:pPr>
      <w:r>
        <w:rPr>
          <w:b/>
          <w:i/>
          <w:color w:val="1B5E20"/>
          <w:sz w:val="18"/>
        </w:rPr>
        <w:t xml:space="preserve">▶ Fuente documental: </w:t>
      </w:r>
      <w:r>
        <w:rPr>
          <w:i/>
          <w:color w:val="606060"/>
          <w:sz w:val="18"/>
        </w:rPr>
        <w:t>Carpeta 'documentacion/': resoluciones BCV, circulares SUDEBAN y avisos oficiales.</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shd w:val="clear" w:fill="1F3A5F"/>
          </w:tcPr>
          <w:p>
            <w:r/>
            <w:r>
              <w:rPr>
                <w:b/>
                <w:color w:val="FFFFFF"/>
                <w:sz w:val="20"/>
              </w:rPr>
              <w:t>Instrumento</w:t>
            </w:r>
          </w:p>
        </w:tc>
        <w:tc>
          <w:tcPr>
            <w:tcW w:type="dxa" w:w="2448"/>
            <w:shd w:val="clear" w:fill="1F3A5F"/>
          </w:tcPr>
          <w:p>
            <w:r/>
            <w:r>
              <w:rPr>
                <w:b/>
                <w:color w:val="FFFFFF"/>
                <w:sz w:val="20"/>
              </w:rPr>
              <w:t>Fecha / Gaceta</w:t>
            </w:r>
          </w:p>
        </w:tc>
        <w:tc>
          <w:tcPr>
            <w:tcW w:type="dxa" w:w="3744"/>
            <w:shd w:val="clear" w:fill="1F3A5F"/>
          </w:tcPr>
          <w:p>
            <w:r/>
            <w:r>
              <w:rPr>
                <w:b/>
                <w:color w:val="FFFFFF"/>
                <w:sz w:val="20"/>
              </w:rPr>
              <w:t>Que aporta</w:t>
            </w:r>
          </w:p>
        </w:tc>
      </w:tr>
      <w:tr>
        <w:tc>
          <w:tcPr>
            <w:tcW w:type="dxa" w:w="3600"/>
          </w:tcPr>
          <w:p>
            <w:r/>
            <w:r>
              <w:rPr>
                <w:sz w:val="19"/>
              </w:rPr>
              <w:t>Resolucion BCV N° 19-09-01</w:t>
            </w:r>
          </w:p>
        </w:tc>
        <w:tc>
          <w:tcPr>
            <w:tcW w:type="dxa" w:w="2448"/>
          </w:tcPr>
          <w:p>
            <w:r/>
            <w:r>
              <w:rPr>
                <w:sz w:val="19"/>
              </w:rPr>
              <w:t>G.O. 41.742 del 21/10/2019</w:t>
            </w:r>
          </w:p>
        </w:tc>
        <w:tc>
          <w:tcPr>
            <w:tcW w:type="dxa" w:w="3744"/>
          </w:tcPr>
          <w:p>
            <w:r/>
            <w:r>
              <w:rPr>
                <w:sz w:val="19"/>
              </w:rPr>
              <w:t>Crea la obligacion de expresar los creditos comerciales en UVC (alli denominada 'Comercial') y dividir el monto en Bs entre el Indice de Inversion (IDI).</w:t>
            </w:r>
          </w:p>
        </w:tc>
      </w:tr>
      <w:tr>
        <w:tc>
          <w:tcPr>
            <w:tcW w:type="dxa" w:w="3600"/>
          </w:tcPr>
          <w:p>
            <w:r/>
            <w:r>
              <w:rPr>
                <w:sz w:val="19"/>
              </w:rPr>
              <w:t>Aviso Oficial BCV</w:t>
            </w:r>
          </w:p>
        </w:tc>
        <w:tc>
          <w:tcPr>
            <w:tcW w:type="dxa" w:w="2448"/>
          </w:tcPr>
          <w:p>
            <w:r/>
            <w:r>
              <w:rPr>
                <w:sz w:val="19"/>
              </w:rPr>
              <w:t>G.O. 41.742 del 21/10/2019</w:t>
            </w:r>
          </w:p>
        </w:tc>
        <w:tc>
          <w:tcPr>
            <w:tcW w:type="dxa" w:w="3744"/>
          </w:tcPr>
          <w:p>
            <w:r/>
            <w:r>
              <w:rPr>
                <w:sz w:val="19"/>
              </w:rPr>
              <w:t>Comision flat maxima de 0,50% del monto del credito.</w:t>
            </w:r>
          </w:p>
        </w:tc>
      </w:tr>
      <w:tr>
        <w:tc>
          <w:tcPr>
            <w:tcW w:type="dxa" w:w="3600"/>
          </w:tcPr>
          <w:p>
            <w:r/>
            <w:r>
              <w:rPr>
                <w:sz w:val="19"/>
              </w:rPr>
              <w:t>Circular BCV de entrada en vigencia</w:t>
            </w:r>
          </w:p>
        </w:tc>
        <w:tc>
          <w:tcPr>
            <w:tcW w:type="dxa" w:w="2448"/>
          </w:tcPr>
          <w:p>
            <w:r/>
            <w:r>
              <w:rPr>
                <w:sz w:val="19"/>
              </w:rPr>
              <w:t>24/10/2019</w:t>
            </w:r>
          </w:p>
        </w:tc>
        <w:tc>
          <w:tcPr>
            <w:tcW w:type="dxa" w:w="3744"/>
          </w:tcPr>
          <w:p>
            <w:r/>
            <w:r>
              <w:rPr>
                <w:sz w:val="19"/>
              </w:rPr>
              <w:t>Fija la aplicacion de la Resolucion 19-09-01 a partir del 28/10/2019.</w:t>
            </w:r>
          </w:p>
        </w:tc>
      </w:tr>
      <w:tr>
        <w:tc>
          <w:tcPr>
            <w:tcW w:type="dxa" w:w="3600"/>
          </w:tcPr>
          <w:p>
            <w:r/>
            <w:r>
              <w:rPr>
                <w:sz w:val="19"/>
              </w:rPr>
              <w:t>Circular SUDEBAN SIB-DSB-CJ-OD-13083</w:t>
            </w:r>
          </w:p>
        </w:tc>
        <w:tc>
          <w:tcPr>
            <w:tcW w:type="dxa" w:w="2448"/>
          </w:tcPr>
          <w:p>
            <w:r/>
            <w:r>
              <w:rPr>
                <w:sz w:val="19"/>
              </w:rPr>
              <w:t>14/11/2019</w:t>
            </w:r>
          </w:p>
        </w:tc>
        <w:tc>
          <w:tcPr>
            <w:tcW w:type="dxa" w:w="3744"/>
          </w:tcPr>
          <w:p>
            <w:r/>
            <w:r>
              <w:rPr>
                <w:sz w:val="19"/>
              </w:rPr>
              <w:t>Clausulas minimas del contrato: amortizacion de capital en UVC, cancelacion anticipada con piso de IDI, % de mora segun el BCV.</w:t>
            </w:r>
          </w:p>
        </w:tc>
      </w:tr>
      <w:tr>
        <w:tc>
          <w:tcPr>
            <w:tcW w:type="dxa" w:w="3600"/>
          </w:tcPr>
          <w:p>
            <w:r/>
            <w:r>
              <w:rPr>
                <w:sz w:val="19"/>
              </w:rPr>
              <w:t>Modificacion Manual de Contabilidad (Circular SIB-II-GGR-GNP-12161)</w:t>
            </w:r>
          </w:p>
        </w:tc>
        <w:tc>
          <w:tcPr>
            <w:tcW w:type="dxa" w:w="2448"/>
          </w:tcPr>
          <w:p>
            <w:r/>
            <w:r>
              <w:rPr>
                <w:sz w:val="19"/>
              </w:rPr>
              <w:t>28/10/2019</w:t>
            </w:r>
          </w:p>
        </w:tc>
        <w:tc>
          <w:tcPr>
            <w:tcW w:type="dxa" w:w="3744"/>
          </w:tcPr>
          <w:p>
            <w:r/>
            <w:r>
              <w:rPr>
                <w:sz w:val="19"/>
              </w:rPr>
              <w:t>Crea las subcuentas contables 131.35, 131.36, 358.01, 513.01.M.35 y 513.01.M.36.</w:t>
            </w:r>
          </w:p>
        </w:tc>
      </w:tr>
      <w:tr>
        <w:tc>
          <w:tcPr>
            <w:tcW w:type="dxa" w:w="3600"/>
          </w:tcPr>
          <w:p>
            <w:r/>
            <w:r>
              <w:rPr>
                <w:sz w:val="19"/>
              </w:rPr>
              <w:t>Minuta reunion SUDEBAN/BCV/ABV</w:t>
            </w:r>
          </w:p>
        </w:tc>
        <w:tc>
          <w:tcPr>
            <w:tcW w:type="dxa" w:w="2448"/>
          </w:tcPr>
          <w:p>
            <w:r/>
            <w:r>
              <w:rPr>
                <w:sz w:val="19"/>
              </w:rPr>
              <w:t>17/12/2019</w:t>
            </w:r>
          </w:p>
        </w:tc>
        <w:tc>
          <w:tcPr>
            <w:tcW w:type="dxa" w:w="3744"/>
          </w:tcPr>
          <w:p>
            <w:r/>
            <w:r>
              <w:rPr>
                <w:sz w:val="19"/>
              </w:rPr>
              <w:t>Tratamiento del credito vencido: congelamiento y registro en cuentas de orden/patrimonio.</w:t>
            </w:r>
          </w:p>
        </w:tc>
      </w:tr>
      <w:tr>
        <w:tc>
          <w:tcPr>
            <w:tcW w:type="dxa" w:w="3600"/>
          </w:tcPr>
          <w:p>
            <w:r/>
            <w:r>
              <w:rPr>
                <w:sz w:val="19"/>
              </w:rPr>
              <w:t>Resolucion BCV N° 21-01-02 (VIGENTE)</w:t>
            </w:r>
          </w:p>
        </w:tc>
        <w:tc>
          <w:tcPr>
            <w:tcW w:type="dxa" w:w="2448"/>
          </w:tcPr>
          <w:p>
            <w:r/>
            <w:r>
              <w:rPr>
                <w:sz w:val="19"/>
              </w:rPr>
              <w:t>G.O. 42.050 del 19/01/2021; vigente 01/02/2021</w:t>
            </w:r>
          </w:p>
        </w:tc>
        <w:tc>
          <w:tcPr>
            <w:tcW w:type="dxa" w:w="3744"/>
          </w:tcPr>
          <w:p>
            <w:r/>
            <w:r>
              <w:rPr>
                <w:sz w:val="19"/>
              </w:rPr>
              <w:t>Norma actual: UVC, IDI, tasas 4%-10% (2% Cartera Productiva), mora 0,80%, piso de IDI en cancelacion anticipada.</w:t>
            </w:r>
          </w:p>
        </w:tc>
      </w:tr>
    </w:tbl>
    <w:p>
      <w:pPr>
        <w:spacing w:after="40"/>
      </w:pPr>
    </w:p>
    <w:p>
      <w:pPr>
        <w:pStyle w:val="Heading1"/>
      </w:pPr>
      <w:r>
        <w:rPr>
          <w:color w:val="1F3A5F"/>
        </w:rPr>
        <w:t>3. Unidad de Valor de Credito (UVC) e Indice de Inversion (IDI)</w:t>
      </w:r>
    </w:p>
    <w:p>
      <w:pPr>
        <w:spacing w:after="160"/>
      </w:pPr>
      <w:r>
        <w:rPr>
          <w:b/>
          <w:i/>
          <w:color w:val="1B5E20"/>
          <w:sz w:val="18"/>
        </w:rPr>
        <w:t xml:space="preserve">▶ Fuente documental: </w:t>
      </w:r>
      <w:r>
        <w:rPr>
          <w:i/>
          <w:color w:val="606060"/>
          <w:sz w:val="18"/>
        </w:rPr>
        <w:t>Resolucion BCV 21-01-02, Art. 1; presentacion 'Impacto contable UVCC'.</w:t>
      </w:r>
    </w:p>
    <w:p>
      <w:r>
        <w:t>La UVC es una unidad de cuenta para preservar el valor real del credito. El IDI (Indice de Inversion) es un factor que el BCV publica diariamente y expresa cuantos bolivares vale una UVC en una fecha. El IDI refleja la variacion del tipo de cambio de referencia de mercado.</w:t>
      </w:r>
    </w:p>
    <w:p>
      <w:r>
        <w:t>Conversion del capital al momento del desembolso:</w:t>
      </w:r>
    </w:p>
    <w:p>
      <w:pPr>
        <w:spacing w:before="40" w:after="160"/>
        <w:ind w:left="432"/>
      </w:pPr>
      <w:r>
        <w:rPr>
          <w:rFonts w:ascii="Consolas" w:hAnsi="Consolas"/>
          <w:color w:val="4A148C"/>
          <w:sz w:val="20"/>
        </w:rPr>
        <w:t>Capital_UVC = Capital_Bs / IDI_desembolso</w:t>
      </w:r>
    </w:p>
    <w:p>
      <w:r>
        <w:t>Conversion de cualquier monto UVC a bolivares en una fecha:</w:t>
      </w:r>
    </w:p>
    <w:p>
      <w:pPr>
        <w:spacing w:before="40" w:after="160"/>
        <w:ind w:left="432"/>
      </w:pPr>
      <w:r>
        <w:rPr>
          <w:rFonts w:ascii="Consolas" w:hAnsi="Consolas"/>
          <w:color w:val="4A148C"/>
          <w:sz w:val="20"/>
        </w:rPr>
        <w:t>Monto_Bs = Monto_UVC x IDI_fecha</w:t>
      </w:r>
    </w:p>
    <w:p>
      <w:pPr>
        <w:pStyle w:val="Heading2"/>
      </w:pPr>
      <w:r>
        <w:rPr>
          <w:color w:val="1F3A5F"/>
        </w:rPr>
        <w:t>3.1 Resolucion del IDI en dias sin publicacion</w:t>
      </w:r>
    </w:p>
    <w:p>
      <w:pPr>
        <w:spacing w:after="160"/>
      </w:pPr>
      <w:r>
        <w:rPr>
          <w:b/>
          <w:i/>
          <w:color w:val="9A5200"/>
          <w:sz w:val="18"/>
        </w:rPr>
        <w:t xml:space="preserve">▶ Elaboracion propia (no consta en la documentacion; creado por el asistente): </w:t>
      </w:r>
      <w:r>
        <w:rPr>
          <w:i/>
          <w:color w:val="606060"/>
          <w:sz w:val="18"/>
        </w:rPr>
        <w:t>Criterio del sistema: el BCV no fija un metodo obligatorio de relleno. Implementado en el codigo (createIdiResolver).</w:t>
      </w:r>
    </w:p>
    <w:p>
      <w:pPr>
        <w:pStyle w:val="ListBullet"/>
      </w:pPr>
      <w:r>
        <w:t>Fin de semana: se usa el IDI del ultimo dia habil previo.</w:t>
      </w:r>
    </w:p>
    <w:p>
      <w:pPr>
        <w:pStyle w:val="ListBullet"/>
      </w:pPr>
      <w:r>
        <w:t>Fechas pasadas sin dato: arrastre del ultimo IDI conocido o interpolacion lineal (parametro idiMissing).</w:t>
      </w:r>
    </w:p>
    <w:p>
      <w:pPr>
        <w:pStyle w:val="ListBullet"/>
      </w:pPr>
      <w:r>
        <w:t>Fechas futuras: extrapolacion sumando un incremento diario configurable (idiFutureStep).</w:t>
      </w:r>
    </w:p>
    <w:p>
      <w:pPr>
        <w:pStyle w:val="Heading1"/>
      </w:pPr>
      <w:r>
        <w:rPr>
          <w:color w:val="1F3A5F"/>
        </w:rPr>
        <w:t>4. Modalidades de pago y amortizacion</w:t>
      </w:r>
    </w:p>
    <w:p>
      <w:pPr>
        <w:spacing w:after="160"/>
      </w:pPr>
      <w:r>
        <w:rPr>
          <w:b/>
          <w:i/>
          <w:color w:val="1B5E20"/>
          <w:sz w:val="18"/>
        </w:rPr>
        <w:t xml:space="preserve">▶ Fuente documental: </w:t>
      </w:r>
      <w:r>
        <w:rPr>
          <w:i/>
          <w:color w:val="606060"/>
          <w:sz w:val="18"/>
        </w:rPr>
        <w:t>Resolucion BCV 21-01-02, Art. 5 lit. a y b; modelos Excel (Simulacion UVCC, SIMULACION 30/90/120).</w:t>
      </w:r>
    </w:p>
    <w:p>
      <w:r>
        <w:t>La norma exige que cada cuota incluya interes y una porcion de amortizacion de capital expresada en UVC. Existen dos modalidades documentadas:</w:t>
      </w:r>
    </w:p>
    <w:p>
      <w:pPr>
        <w:pStyle w:val="ListBullet"/>
      </w:pPr>
      <w:r>
        <w:t>Pago en cuotas (sistema frances, cuota fija en UVC): hoja 'ejercicio en cuotas' de 'Simulacion UVCC'.</w:t>
      </w:r>
    </w:p>
    <w:p>
      <w:pPr>
        <w:pStyle w:val="ListBullet"/>
      </w:pPr>
      <w:r>
        <w:t>Pago unico al vencimiento (bullet, 'AL VCTO'): hojas '30/90/120 dias'. Para Cartera Productiva (Art. 2) lleva un cargo especial de 20% al liquidar.</w:t>
      </w:r>
    </w:p>
    <w:p>
      <w:pPr>
        <w:pStyle w:val="Heading2"/>
      </w:pPr>
      <w:r>
        <w:rPr>
          <w:color w:val="1F3A5F"/>
        </w:rPr>
        <w:t>4.1 Formula de la cuota fija en UVC (sistema frances)</w:t>
      </w:r>
    </w:p>
    <w:p>
      <w:pPr>
        <w:spacing w:after="160"/>
      </w:pPr>
      <w:r>
        <w:rPr>
          <w:b/>
          <w:i/>
          <w:color w:val="9A5200"/>
          <w:sz w:val="18"/>
        </w:rPr>
        <w:t xml:space="preserve">▶ Elaboracion propia (no consta en la documentacion; creado por el asistente): </w:t>
      </w:r>
      <w:r>
        <w:rPr>
          <w:i/>
          <w:color w:val="606060"/>
          <w:sz w:val="18"/>
        </w:rPr>
        <w:t>La exigencia de amortizar capital en cada cuota es regulatoria (Art. 5 lit. a); la formula francesa concreta es criterio del sistema.</w:t>
      </w:r>
    </w:p>
    <w:p>
      <w:pPr>
        <w:spacing w:before="40" w:after="160"/>
        <w:ind w:left="432"/>
      </w:pPr>
      <w:r>
        <w:rPr>
          <w:rFonts w:ascii="Consolas" w:hAnsi="Consolas"/>
          <w:color w:val="4A148C"/>
          <w:sz w:val="20"/>
        </w:rPr>
        <w:t>i = tasa_anual / 12            (tasa mensual)</w:t>
        <w:br/>
        <w:t>Cuota_UVC = Capital_UVC x [ i / (1 - (1 + i)^(-n)) ]</w:t>
        <w:br/>
        <w:t xml:space="preserve">  n = numero de cuotas (meses)</w:t>
        <w:br/>
        <w:t>Caso tasa 0:  Cuota_UVC = Capital_UVC / n</w:t>
      </w:r>
    </w:p>
    <w:p>
      <w:pPr>
        <w:pStyle w:val="Heading2"/>
      </w:pPr>
      <w:r>
        <w:rPr>
          <w:color w:val="1F3A5F"/>
        </w:rPr>
        <w:t>4.2 Descomposicion periodo a periodo</w:t>
      </w:r>
    </w:p>
    <w:p>
      <w:pPr>
        <w:spacing w:after="160"/>
      </w:pPr>
      <w:r>
        <w:rPr>
          <w:b/>
          <w:i/>
          <w:color w:val="1F3A5F"/>
          <w:sz w:val="18"/>
        </w:rPr>
        <w:t xml:space="preserve">▶ Base en el codigo del proyecto: </w:t>
      </w:r>
      <w:r>
        <w:rPr>
          <w:i/>
          <w:color w:val="606060"/>
          <w:sz w:val="18"/>
        </w:rPr>
        <w:t>src/lib/simulator.js (calculo de interestUvc, amortUvc, balanceUvc).</w:t>
      </w:r>
    </w:p>
    <w:p>
      <w:pPr>
        <w:spacing w:before="40" w:after="160"/>
        <w:ind w:left="432"/>
      </w:pPr>
      <w:r>
        <w:rPr>
          <w:rFonts w:ascii="Consolas" w:hAnsi="Consolas"/>
          <w:color w:val="4A148C"/>
          <w:sz w:val="20"/>
        </w:rPr>
        <w:t>Interes_UVC(t) = Saldo_UVC(t-1) x tasa_anual x (dias_periodo / base)</w:t>
        <w:br/>
        <w:t>Amort_UVC(t)   = Cuota_UVC - Interes_UVC(t)</w:t>
        <w:br/>
        <w:t>Saldo_UVC(t)   = Saldo_UVC(t-1) - Amort_UVC(t)</w:t>
      </w:r>
    </w:p>
    <w:p>
      <w:pPr>
        <w:pStyle w:val="Heading1"/>
      </w:pPr>
      <w:r>
        <w:rPr>
          <w:color w:val="1F3A5F"/>
        </w:rPr>
        <w:t>5. Base de dias (convencion de computo)</w:t>
      </w:r>
    </w:p>
    <w:p>
      <w:pPr>
        <w:spacing w:after="160"/>
      </w:pPr>
      <w:r>
        <w:rPr>
          <w:b/>
          <w:i/>
          <w:color w:val="1B5E20"/>
          <w:sz w:val="18"/>
        </w:rPr>
        <w:t xml:space="preserve">▶ Fuente documental: </w:t>
      </w:r>
      <w:r>
        <w:rPr>
          <w:i/>
          <w:color w:val="606060"/>
          <w:sz w:val="18"/>
        </w:rPr>
        <w:t>Modelos Excel ('DIAS 360 / DEVENGO 30' en TABLA CARTERA SIMULADA). La opcion Actual/365 es elaboracion propia.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1F3A5F"/>
          </w:tcPr>
          <w:p>
            <w:r/>
            <w:r>
              <w:rPr>
                <w:b/>
                <w:color w:val="FFFFFF"/>
                <w:sz w:val="20"/>
              </w:rPr>
              <w:t>Convencion</w:t>
            </w:r>
          </w:p>
        </w:tc>
        <w:tc>
          <w:tcPr>
            <w:tcW w:type="dxa" w:w="3168"/>
            <w:shd w:val="clear" w:fill="1F3A5F"/>
          </w:tcPr>
          <w:p>
            <w:r/>
            <w:r>
              <w:rPr>
                <w:b/>
                <w:color w:val="FFFFFF"/>
                <w:sz w:val="20"/>
              </w:rPr>
              <w:t>Dias del periodo</w:t>
            </w:r>
          </w:p>
        </w:tc>
        <w:tc>
          <w:tcPr>
            <w:tcW w:type="dxa" w:w="1440"/>
            <w:shd w:val="clear" w:fill="1F3A5F"/>
          </w:tcPr>
          <w:p>
            <w:r/>
            <w:r>
              <w:rPr>
                <w:b/>
                <w:color w:val="FFFFFF"/>
                <w:sz w:val="20"/>
              </w:rPr>
              <w:t>Base anual</w:t>
            </w:r>
          </w:p>
        </w:tc>
        <w:tc>
          <w:tcPr>
            <w:tcW w:type="dxa" w:w="3024"/>
            <w:shd w:val="clear" w:fill="1F3A5F"/>
          </w:tcPr>
          <w:p>
            <w:r/>
            <w:r>
              <w:rPr>
                <w:b/>
                <w:color w:val="FFFFFF"/>
                <w:sz w:val="20"/>
              </w:rPr>
              <w:t>Uso</w:t>
            </w:r>
          </w:p>
        </w:tc>
      </w:tr>
      <w:tr>
        <w:tc>
          <w:tcPr>
            <w:tcW w:type="dxa" w:w="2160"/>
          </w:tcPr>
          <w:p>
            <w:r/>
            <w:r>
              <w:rPr>
                <w:sz w:val="19"/>
              </w:rPr>
              <w:t>30/360</w:t>
            </w:r>
          </w:p>
        </w:tc>
        <w:tc>
          <w:tcPr>
            <w:tcW w:type="dxa" w:w="3168"/>
          </w:tcPr>
          <w:p>
            <w:r/>
            <w:r>
              <w:rPr>
                <w:sz w:val="19"/>
              </w:rPr>
              <w:t>Cada mes = 30 dias</w:t>
            </w:r>
          </w:p>
        </w:tc>
        <w:tc>
          <w:tcPr>
            <w:tcW w:type="dxa" w:w="1440"/>
          </w:tcPr>
          <w:p>
            <w:r/>
            <w:r>
              <w:rPr>
                <w:sz w:val="19"/>
              </w:rPr>
              <w:t>360</w:t>
            </w:r>
          </w:p>
        </w:tc>
        <w:tc>
          <w:tcPr>
            <w:tcW w:type="dxa" w:w="3024"/>
          </w:tcPr>
          <w:p>
            <w:r/>
            <w:r>
              <w:rPr>
                <w:sz w:val="19"/>
              </w:rPr>
              <w:t>Predominante en los modelos UVC del BCV.</w:t>
            </w:r>
          </w:p>
        </w:tc>
      </w:tr>
      <w:tr>
        <w:tc>
          <w:tcPr>
            <w:tcW w:type="dxa" w:w="2160"/>
          </w:tcPr>
          <w:p>
            <w:r/>
            <w:r>
              <w:rPr>
                <w:sz w:val="19"/>
              </w:rPr>
              <w:t>Actual/365</w:t>
            </w:r>
          </w:p>
        </w:tc>
        <w:tc>
          <w:tcPr>
            <w:tcW w:type="dxa" w:w="3168"/>
          </w:tcPr>
          <w:p>
            <w:r/>
            <w:r>
              <w:rPr>
                <w:sz w:val="19"/>
              </w:rPr>
              <w:t>Dias calendario reales</w:t>
            </w:r>
          </w:p>
        </w:tc>
        <w:tc>
          <w:tcPr>
            <w:tcW w:type="dxa" w:w="1440"/>
          </w:tcPr>
          <w:p>
            <w:r/>
            <w:r>
              <w:rPr>
                <w:sz w:val="19"/>
              </w:rPr>
              <w:t>365</w:t>
            </w:r>
          </w:p>
        </w:tc>
        <w:tc>
          <w:tcPr>
            <w:tcW w:type="dxa" w:w="3024"/>
          </w:tcPr>
          <w:p>
            <w:r/>
            <w:r>
              <w:rPr>
                <w:sz w:val="19"/>
              </w:rPr>
              <w:t>Opcion alternativa (elaboracion propia).</w:t>
            </w:r>
          </w:p>
        </w:tc>
      </w:tr>
    </w:tbl>
    <w:p>
      <w:pPr>
        <w:spacing w:after="40"/>
      </w:pPr>
    </w:p>
    <w:p>
      <w:pPr>
        <w:spacing w:before="40" w:after="160"/>
        <w:ind w:left="432"/>
      </w:pPr>
      <w:r>
        <w:rPr>
          <w:rFonts w:ascii="Consolas" w:hAnsi="Consolas"/>
          <w:color w:val="4A148C"/>
          <w:sz w:val="20"/>
        </w:rPr>
        <w:t>Tasa_periodo = Tasa_anual x (dias_periodo / base)</w:t>
      </w:r>
    </w:p>
    <w:p>
      <w:pPr>
        <w:pStyle w:val="Heading1"/>
      </w:pPr>
      <w:r>
        <w:rPr>
          <w:color w:val="1F3A5F"/>
        </w:rPr>
        <w:t>6. Valoracion de los intereses en bolivares</w:t>
      </w:r>
    </w:p>
    <w:p>
      <w:pPr>
        <w:spacing w:after="160"/>
      </w:pPr>
      <w:r>
        <w:rPr>
          <w:b/>
          <w:i/>
          <w:color w:val="1B5E20"/>
          <w:sz w:val="18"/>
        </w:rPr>
        <w:t xml:space="preserve">▶ Fuente documental: </w:t>
      </w:r>
      <w:r>
        <w:rPr>
          <w:i/>
          <w:color w:val="606060"/>
          <w:sz w:val="18"/>
        </w:rPr>
        <w:t>Modelos Excel (Nayrobis: 'Interes cap. Base' e 'Interes Var. Capital'); documentacion-tecnica.md.</w:t>
      </w:r>
    </w:p>
    <w:p>
      <w:r>
        <w:t>El interes se acumula en UVC y se convierte a bolivares. Hay dos modos:</w:t>
      </w:r>
    </w:p>
    <w:p>
      <w:pPr>
        <w:pStyle w:val="ListBullet"/>
      </w:pPr>
      <w:r>
        <w:t>IDI al vencimiento: Interes_Bs = Interes_UVC x IDI_vencimiento.</w:t>
      </w:r>
    </w:p>
    <w:p>
      <w:pPr>
        <w:pStyle w:val="ListBullet"/>
      </w:pPr>
      <w:r>
        <w:t>IDI diario (devengo): se suma el interes diario valorado por el IDI de cada dia.</w:t>
      </w:r>
    </w:p>
    <w:p>
      <w:pPr>
        <w:spacing w:before="40" w:after="160"/>
        <w:ind w:left="432"/>
      </w:pPr>
      <w:r>
        <w:rPr>
          <w:rFonts w:ascii="Consolas" w:hAnsi="Consolas"/>
          <w:color w:val="4A148C"/>
          <w:sz w:val="20"/>
        </w:rPr>
        <w:t>IDI al vencimiento:  Interes_Bs = Interes_UVC x IDI_venc</w:t>
        <w:br/>
        <w:t>IDI diario:          Interes_Bs = SUM_d ( Interes_UVC_dia x IDI_dia )</w:t>
      </w:r>
    </w:p>
    <w:p>
      <w:pPr>
        <w:pStyle w:val="Heading2"/>
      </w:pPr>
      <w:r>
        <w:rPr>
          <w:color w:val="1F3A5F"/>
        </w:rPr>
        <w:t>6.1 Componente base y componente por variacion (actualizacion)</w:t>
      </w:r>
    </w:p>
    <w:p>
      <w:pPr>
        <w:spacing w:after="160"/>
      </w:pPr>
      <w:r>
        <w:rPr>
          <w:b/>
          <w:i/>
          <w:color w:val="1B5E20"/>
          <w:sz w:val="18"/>
        </w:rPr>
        <w:t xml:space="preserve">▶ Fuente documental: </w:t>
      </w:r>
      <w:r>
        <w:rPr>
          <w:i/>
          <w:color w:val="606060"/>
          <w:sz w:val="18"/>
        </w:rPr>
        <w:t>Modelos Excel (columnas 'Amortizacion cap inicial' vs 'Componente de actualizacion'); cuentas 513.01.M.35 / 513.01.M.36.</w:t>
      </w:r>
    </w:p>
    <w:p>
      <w:r>
        <w:t>Cada monto en Bs se separa en el valor al IDI de desembolso (componente base) y la diferencia por la variacion del IDI (componente de actualizacion):</w:t>
      </w:r>
    </w:p>
    <w:p>
      <w:pPr>
        <w:spacing w:before="40" w:after="160"/>
        <w:ind w:left="432"/>
      </w:pPr>
      <w:r>
        <w:rPr>
          <w:rFonts w:ascii="Consolas" w:hAnsi="Consolas"/>
          <w:color w:val="4A148C"/>
          <w:sz w:val="20"/>
        </w:rPr>
        <w:t>Componente_base_Bs = Monto_UVC x IDI_desembolso</w:t>
        <w:br/>
        <w:t>Componente_variacion_Bs = Monto_Bs - Componente_base_Bs</w:t>
      </w:r>
    </w:p>
    <w:p>
      <w:pPr>
        <w:pStyle w:val="Heading1"/>
      </w:pPr>
      <w:r>
        <w:rPr>
          <w:color w:val="1F3A5F"/>
        </w:rPr>
        <w:t>7. Desglose de la cuota en bolivares</w:t>
      </w:r>
    </w:p>
    <w:p>
      <w:pPr>
        <w:spacing w:after="160"/>
      </w:pPr>
      <w:r>
        <w:rPr>
          <w:b/>
          <w:i/>
          <w:color w:val="1F3A5F"/>
          <w:sz w:val="18"/>
        </w:rPr>
        <w:t xml:space="preserve">▶ Base en el codigo del proyecto: </w:t>
      </w:r>
      <w:r>
        <w:rPr>
          <w:i/>
          <w:color w:val="606060"/>
          <w:sz w:val="18"/>
        </w:rPr>
        <w:t>src/lib/simulator.js (interestBs, amortBs, cuotaBs, balanceBs).</w:t>
      </w:r>
    </w:p>
    <w:p>
      <w:pPr>
        <w:spacing w:before="40" w:after="160"/>
        <w:ind w:left="432"/>
      </w:pPr>
      <w:r>
        <w:rPr>
          <w:rFonts w:ascii="Consolas" w:hAnsi="Consolas"/>
          <w:color w:val="4A148C"/>
          <w:sz w:val="20"/>
        </w:rPr>
        <w:t>Amort_Bs = Amort_UVC x IDI_vencimiento</w:t>
        <w:br/>
        <w:t>Cuota_Bs = Interes_Bs + Amort_Bs</w:t>
        <w:br/>
        <w:t>Saldo_Bs = Saldo_UVC_final x IDI_vencimiento</w:t>
      </w:r>
    </w:p>
    <w:p>
      <w:pPr>
        <w:pStyle w:val="Heading1"/>
      </w:pPr>
      <w:r>
        <w:rPr>
          <w:color w:val="1F3A5F"/>
        </w:rPr>
        <w:t>8. Valorizacion UVC (ganancia por inflacion)</w:t>
      </w:r>
    </w:p>
    <w:p>
      <w:pPr>
        <w:spacing w:after="160"/>
      </w:pPr>
      <w:r>
        <w:rPr>
          <w:b/>
          <w:i/>
          <w:color w:val="1F3A5F"/>
          <w:sz w:val="18"/>
        </w:rPr>
        <w:t xml:space="preserve">▶ Base en el codigo del proyecto: </w:t>
      </w:r>
      <w:r>
        <w:rPr>
          <w:i/>
          <w:color w:val="606060"/>
          <w:sz w:val="18"/>
        </w:rPr>
        <w:t>src/lib/simulator.js (valorUvcCapital, valorUvcRend). Concepto contable: Manual SUDEBAN.</w:t>
      </w:r>
    </w:p>
    <w:p>
      <w:r>
        <w:t>Es la ganancia en bolivares por la variacion del IDI entre el desembolso y el vencimiento de la cuota:</w:t>
      </w:r>
    </w:p>
    <w:p>
      <w:pPr>
        <w:spacing w:before="40" w:after="160"/>
        <w:ind w:left="432"/>
      </w:pPr>
      <w:r>
        <w:rPr>
          <w:rFonts w:ascii="Consolas" w:hAnsi="Consolas"/>
          <w:color w:val="4A148C"/>
          <w:sz w:val="20"/>
        </w:rPr>
        <w:t>Val_UVC_capital = Amort_Bs - Amort_UVC x IDI_desembolso</w:t>
        <w:br/>
        <w:t>Val_UVC_rend    = Interes_Bs - Interes_UVC x IDI_desembolso</w:t>
      </w:r>
    </w:p>
    <w:p>
      <w:r>
        <w:t>Si el IDI sube (inflacion), la valorizacion es positiva: el banco recibe mas bolivares por la misma cantidad de UVC.</w:t>
      </w:r>
    </w:p>
    <w:p>
      <w:pPr>
        <w:pStyle w:val="Heading1"/>
      </w:pPr>
      <w:r>
        <w:rPr>
          <w:color w:val="1F3A5F"/>
        </w:rPr>
        <w:t>9. Calculo de la mora</w:t>
      </w:r>
    </w:p>
    <w:p>
      <w:pPr>
        <w:spacing w:after="160"/>
      </w:pPr>
      <w:r>
        <w:rPr>
          <w:b/>
          <w:i/>
          <w:color w:val="1F3A5F"/>
          <w:sz w:val="18"/>
        </w:rPr>
        <w:t xml:space="preserve">▶ Base en el codigo del proyecto: </w:t>
      </w:r>
      <w:r>
        <w:rPr>
          <w:i/>
          <w:color w:val="606060"/>
          <w:sz w:val="18"/>
        </w:rPr>
        <w:t>src/lib/simulator.js (daysLate, moraUvc, moraBs). Topes: Resolucion 21-01-02 Art. 7.</w:t>
      </w:r>
    </w:p>
    <w:p>
      <w:pPr>
        <w:spacing w:before="40" w:after="160"/>
        <w:ind w:left="432"/>
      </w:pPr>
      <w:r>
        <w:rPr>
          <w:rFonts w:ascii="Consolas" w:hAnsi="Consolas"/>
          <w:color w:val="4A148C"/>
          <w:sz w:val="20"/>
        </w:rPr>
        <w:t>Dias_mora = max(0, dias(vencimiento -&gt; pago) - dias_gracia)</w:t>
        <w:br/>
        <w:t>Base_mora_UVC = Amort_UVC   (base 'amortizacion')  o  Saldo_UVC (base 'saldo')</w:t>
        <w:br/>
        <w:t>Mora_UVC = Base_mora_UVC x tasa_mora x (Dias_mora / base)</w:t>
        <w:br/>
        <w:t>Mora_Bs  = Mora_UVC x IDI_fecha_pago   (o suma diaria si IDI diario)</w:t>
      </w:r>
    </w:p>
    <w:p>
      <w:r>
        <w:t>La mora se calcula solo sobre el capital vencido, nunca sobre intereses ni cuotas futuras (sin anatocismo).</w:t>
      </w:r>
    </w:p>
    <w:p>
      <w:pPr>
        <w:pStyle w:val="Heading2"/>
      </w:pPr>
      <w:r>
        <w:rPr>
          <w:color w:val="1F3A5F"/>
        </w:rPr>
        <w:t>9.1 Topes de la tasa de mora</w:t>
      </w:r>
    </w:p>
    <w:p>
      <w:pPr>
        <w:spacing w:after="160"/>
      </w:pPr>
      <w:r>
        <w:rPr>
          <w:b/>
          <w:i/>
          <w:color w:val="1B5E20"/>
          <w:sz w:val="18"/>
        </w:rPr>
        <w:t xml:space="preserve">▶ Fuente documental: </w:t>
      </w:r>
      <w:r>
        <w:rPr>
          <w:i/>
          <w:color w:val="606060"/>
          <w:sz w:val="18"/>
        </w:rPr>
        <w:t>Resolucion BCV 21-01-02, Art. 7 y Paragrafo Unico.</w:t>
      </w:r>
    </w:p>
    <w:tbl>
      <w:tblPr>
        <w:tblStyle w:val="LightGrid-Accent1"/>
        <w:tblW w:type="auto" w:w="0"/>
        <w:jc w:val="center"/>
        <w:tblLook w:firstColumn="1" w:firstRow="1" w:lastColumn="0" w:lastRow="0" w:noHBand="0" w:noVBand="1" w:val="04A0"/>
      </w:tblPr>
      <w:tblGrid>
        <w:gridCol w:w="4320"/>
        <w:gridCol w:w="4320"/>
      </w:tblGrid>
      <w:tr>
        <w:tc>
          <w:tcPr>
            <w:tcW w:type="dxa" w:w="5040"/>
            <w:shd w:val="clear" w:fill="1F3A5F"/>
          </w:tcPr>
          <w:p>
            <w:r/>
            <w:r>
              <w:rPr>
                <w:b/>
                <w:color w:val="FFFFFF"/>
                <w:sz w:val="20"/>
              </w:rPr>
              <w:t>Tipo de credito</w:t>
            </w:r>
          </w:p>
        </w:tc>
        <w:tc>
          <w:tcPr>
            <w:tcW w:type="dxa" w:w="3600"/>
            <w:shd w:val="clear" w:fill="1F3A5F"/>
          </w:tcPr>
          <w:p>
            <w:r/>
            <w:r>
              <w:rPr>
                <w:b/>
                <w:color w:val="FFFFFF"/>
                <w:sz w:val="20"/>
              </w:rPr>
              <w:t>Mora maxima anual adicional</w:t>
            </w:r>
          </w:p>
        </w:tc>
      </w:tr>
      <w:tr>
        <w:tc>
          <w:tcPr>
            <w:tcW w:type="dxa" w:w="5040"/>
          </w:tcPr>
          <w:p>
            <w:r/>
            <w:r>
              <w:rPr>
                <w:sz w:val="19"/>
              </w:rPr>
              <w:t>Expresado en UVC</w:t>
            </w:r>
          </w:p>
        </w:tc>
        <w:tc>
          <w:tcPr>
            <w:tcW w:type="dxa" w:w="3600"/>
          </w:tcPr>
          <w:p>
            <w:r/>
            <w:r>
              <w:rPr>
                <w:sz w:val="19"/>
              </w:rPr>
              <w:t>0,80%</w:t>
            </w:r>
          </w:p>
        </w:tc>
      </w:tr>
      <w:tr>
        <w:tc>
          <w:tcPr>
            <w:tcW w:type="dxa" w:w="5040"/>
          </w:tcPr>
          <w:p>
            <w:r/>
            <w:r>
              <w:rPr>
                <w:sz w:val="19"/>
              </w:rPr>
              <w:t>No expresado en UVC</w:t>
            </w:r>
          </w:p>
        </w:tc>
        <w:tc>
          <w:tcPr>
            <w:tcW w:type="dxa" w:w="3600"/>
          </w:tcPr>
          <w:p>
            <w:r/>
            <w:r>
              <w:rPr>
                <w:sz w:val="19"/>
              </w:rPr>
              <w:t>3,00%</w:t>
            </w:r>
          </w:p>
        </w:tc>
      </w:tr>
    </w:tbl>
    <w:p>
      <w:pPr>
        <w:spacing w:after="40"/>
      </w:pPr>
    </w:p>
    <w:p>
      <w:pPr>
        <w:pStyle w:val="Heading1"/>
      </w:pPr>
      <w:r>
        <w:rPr>
          <w:color w:val="1F3A5F"/>
        </w:rPr>
        <w:t>10. Clasificacion de la cartera por dias de mora</w:t>
      </w:r>
    </w:p>
    <w:p>
      <w:pPr>
        <w:spacing w:after="160"/>
      </w:pPr>
      <w:r>
        <w:rPr>
          <w:b/>
          <w:i/>
          <w:color w:val="9A5200"/>
          <w:sz w:val="18"/>
        </w:rPr>
        <w:t xml:space="preserve">▶ Elaboracion propia (no consta en la documentacion; creado por el asistente): </w:t>
      </w:r>
      <w:r>
        <w:rPr>
          <w:i/>
          <w:color w:val="606060"/>
          <w:sz w:val="18"/>
        </w:rPr>
        <w:t>Los umbrales 30/60/90 y la nomenclatura provienen del codigo del proyecto; la base normativa (Res. SUDEBAN 009.16) NO consta en la carpeta documentacion.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fill="1F3A5F"/>
          </w:tcPr>
          <w:p>
            <w:r/>
            <w:r>
              <w:rPr>
                <w:b/>
                <w:color w:val="FFFFFF"/>
                <w:sz w:val="20"/>
              </w:rPr>
              <w:t>Clasificacion</w:t>
            </w:r>
          </w:p>
        </w:tc>
        <w:tc>
          <w:tcPr>
            <w:tcW w:type="dxa" w:w="2160"/>
            <w:shd w:val="clear" w:fill="1F3A5F"/>
          </w:tcPr>
          <w:p>
            <w:r/>
            <w:r>
              <w:rPr>
                <w:b/>
                <w:color w:val="FFFFFF"/>
                <w:sz w:val="20"/>
              </w:rPr>
              <w:t>Dias de mora</w:t>
            </w:r>
          </w:p>
        </w:tc>
        <w:tc>
          <w:tcPr>
            <w:tcW w:type="dxa" w:w="3888"/>
            <w:shd w:val="clear" w:fill="1F3A5F"/>
          </w:tcPr>
          <w:p>
            <w:r/>
            <w:r>
              <w:rPr>
                <w:b/>
                <w:color w:val="FFFFFF"/>
                <w:sz w:val="20"/>
              </w:rPr>
              <w:t>Tratamiento</w:t>
            </w:r>
          </w:p>
        </w:tc>
      </w:tr>
      <w:tr>
        <w:tc>
          <w:tcPr>
            <w:tcW w:type="dxa" w:w="2592"/>
          </w:tcPr>
          <w:p>
            <w:r/>
            <w:r>
              <w:rPr>
                <w:sz w:val="19"/>
              </w:rPr>
              <w:t>AL DIA</w:t>
            </w:r>
          </w:p>
        </w:tc>
        <w:tc>
          <w:tcPr>
            <w:tcW w:type="dxa" w:w="2160"/>
          </w:tcPr>
          <w:p>
            <w:r/>
            <w:r>
              <w:rPr>
                <w:sz w:val="19"/>
              </w:rPr>
              <w:t>0</w:t>
            </w:r>
          </w:p>
        </w:tc>
        <w:tc>
          <w:tcPr>
            <w:tcW w:type="dxa" w:w="3888"/>
          </w:tcPr>
          <w:p>
            <w:r/>
            <w:r>
              <w:rPr>
                <w:sz w:val="19"/>
              </w:rPr>
              <w:t>Sin atraso.</w:t>
            </w:r>
          </w:p>
        </w:tc>
      </w:tr>
      <w:tr>
        <w:tc>
          <w:tcPr>
            <w:tcW w:type="dxa" w:w="2592"/>
          </w:tcPr>
          <w:p>
            <w:r/>
            <w:r>
              <w:rPr>
                <w:sz w:val="19"/>
              </w:rPr>
              <w:t>MORA 1</w:t>
            </w:r>
          </w:p>
        </w:tc>
        <w:tc>
          <w:tcPr>
            <w:tcW w:type="dxa" w:w="2160"/>
          </w:tcPr>
          <w:p>
            <w:r/>
            <w:r>
              <w:rPr>
                <w:sz w:val="19"/>
              </w:rPr>
              <w:t>1 a 30</w:t>
            </w:r>
          </w:p>
        </w:tc>
        <w:tc>
          <w:tcPr>
            <w:tcW w:type="dxa" w:w="3888"/>
          </w:tcPr>
          <w:p>
            <w:r/>
            <w:r>
              <w:rPr>
                <w:sz w:val="19"/>
              </w:rPr>
              <w:t>Atraso leve, en gestion de cobro.</w:t>
            </w:r>
          </w:p>
        </w:tc>
      </w:tr>
      <w:tr>
        <w:tc>
          <w:tcPr>
            <w:tcW w:type="dxa" w:w="2592"/>
          </w:tcPr>
          <w:p>
            <w:r/>
            <w:r>
              <w:rPr>
                <w:sz w:val="19"/>
              </w:rPr>
              <w:t>VENCIDO</w:t>
            </w:r>
          </w:p>
        </w:tc>
        <w:tc>
          <w:tcPr>
            <w:tcW w:type="dxa" w:w="2160"/>
          </w:tcPr>
          <w:p>
            <w:r/>
            <w:r>
              <w:rPr>
                <w:sz w:val="19"/>
              </w:rPr>
              <w:t>31 a 60</w:t>
            </w:r>
          </w:p>
        </w:tc>
        <w:tc>
          <w:tcPr>
            <w:tcW w:type="dxa" w:w="3888"/>
          </w:tcPr>
          <w:p>
            <w:r/>
            <w:r>
              <w:rPr>
                <w:sz w:val="19"/>
              </w:rPr>
              <w:t>Atraso moderado.</w:t>
            </w:r>
          </w:p>
        </w:tc>
      </w:tr>
      <w:tr>
        <w:tc>
          <w:tcPr>
            <w:tcW w:type="dxa" w:w="2592"/>
          </w:tcPr>
          <w:p>
            <w:r/>
            <w:r>
              <w:rPr>
                <w:sz w:val="19"/>
              </w:rPr>
              <w:t>VENCIDO 2</w:t>
            </w:r>
          </w:p>
        </w:tc>
        <w:tc>
          <w:tcPr>
            <w:tcW w:type="dxa" w:w="2160"/>
          </w:tcPr>
          <w:p>
            <w:r/>
            <w:r>
              <w:rPr>
                <w:sz w:val="19"/>
              </w:rPr>
              <w:t>61 a 90</w:t>
            </w:r>
          </w:p>
        </w:tc>
        <w:tc>
          <w:tcPr>
            <w:tcW w:type="dxa" w:w="3888"/>
          </w:tcPr>
          <w:p>
            <w:r/>
            <w:r>
              <w:rPr>
                <w:sz w:val="19"/>
              </w:rPr>
              <w:t>Atraso significativo.</w:t>
            </w:r>
          </w:p>
        </w:tc>
      </w:tr>
      <w:tr>
        <w:tc>
          <w:tcPr>
            <w:tcW w:type="dxa" w:w="2592"/>
          </w:tcPr>
          <w:p>
            <w:r/>
            <w:r>
              <w:rPr>
                <w:sz w:val="19"/>
              </w:rPr>
              <w:t>CASTIGO</w:t>
            </w:r>
          </w:p>
        </w:tc>
        <w:tc>
          <w:tcPr>
            <w:tcW w:type="dxa" w:w="2160"/>
          </w:tcPr>
          <w:p>
            <w:r/>
            <w:r>
              <w:rPr>
                <w:sz w:val="19"/>
              </w:rPr>
              <w:t>&gt; 90</w:t>
            </w:r>
          </w:p>
        </w:tc>
        <w:tc>
          <w:tcPr>
            <w:tcW w:type="dxa" w:w="3888"/>
          </w:tcPr>
          <w:p>
            <w:r/>
            <w:r>
              <w:rPr>
                <w:sz w:val="19"/>
              </w:rPr>
              <w:t>Incobrable / castigo.</w:t>
            </w:r>
          </w:p>
        </w:tc>
      </w:tr>
    </w:tbl>
    <w:p>
      <w:pPr>
        <w:spacing w:after="40"/>
      </w:pPr>
    </w:p>
    <w:p>
      <w:pPr>
        <w:pStyle w:val="Heading2"/>
      </w:pPr>
      <w:r>
        <w:rPr>
          <w:color w:val="1F3A5F"/>
        </w:rPr>
        <w:t>10.1 Cuentas activas vs. cuentas de orden</w:t>
      </w:r>
    </w:p>
    <w:p>
      <w:pPr>
        <w:spacing w:after="160"/>
      </w:pPr>
      <w:r>
        <w:rPr>
          <w:b/>
          <w:i/>
          <w:color w:val="9A5200"/>
          <w:sz w:val="18"/>
        </w:rPr>
        <w:t xml:space="preserve">▶ Elaboracion propia (no consta en la documentacion; creado por el asistente): </w:t>
      </w:r>
      <w:r>
        <w:rPr>
          <w:i/>
          <w:color w:val="606060"/>
          <w:sz w:val="18"/>
        </w:rPr>
        <w:t>El uso generico de los grupos 143 (activo) y 819 (orden) es criterio del sistema; el plan documentado usa 131.35/513.01/358 (ver seccion 12).</w:t>
      </w:r>
    </w:p>
    <w:p>
      <w:r>
        <w:t>Mientras el atraso no supera el umbral 'mora2', el interes y la mora se reportan en cartera activa. Al superarlo, se trasladan a cuentas de orden (no se reconocen como ingreso hasta cobrarse).</w:t>
      </w:r>
    </w:p>
    <w:p>
      <w:pPr>
        <w:pStyle w:val="Heading1"/>
      </w:pPr>
      <w:r>
        <w:rPr>
          <w:color w:val="1F3A5F"/>
        </w:rPr>
        <w:t>11. Congelamiento del credito vencido</w:t>
      </w:r>
    </w:p>
    <w:p>
      <w:pPr>
        <w:spacing w:after="160"/>
      </w:pPr>
      <w:r>
        <w:rPr>
          <w:b/>
          <w:i/>
          <w:color w:val="1B5E20"/>
          <w:sz w:val="18"/>
        </w:rPr>
        <w:t xml:space="preserve">▶ Fuente documental: </w:t>
      </w:r>
      <w:r>
        <w:rPr>
          <w:i/>
          <w:color w:val="606060"/>
          <w:sz w:val="18"/>
        </w:rPr>
        <w:t>Minuta reunion SUDEBAN/BCV/ABV del 17/12/2019, punto 4.</w:t>
      </w:r>
    </w:p>
    <w:p>
      <w:r>
        <w:t>A la fecha en que el credito pasa a vencido, se 'congela': deja de actualizarse por el IDI en las cuentas reales (Cartera y Patrimonio). Las revalorizaciones de capital y de rendimientos se devengan en cuentas de orden hasta que el cliente pague; al cobrarse, se registran en resultados y patrimonio.</w:t>
      </w:r>
    </w:p>
    <w:p>
      <w:r>
        <w:t>En el sistema, cuando una cuota supera 'mora2', la valorizacion se enruta a los campos de orden (valorUvcCapitalOrder / valorUvcRendOrder, bandera 'frozen').</w:t>
      </w:r>
    </w:p>
    <w:p>
      <w:pPr>
        <w:pStyle w:val="Heading1"/>
      </w:pPr>
      <w:r>
        <w:rPr>
          <w:color w:val="1F3A5F"/>
        </w:rPr>
        <w:t>12. Plan de cuentas contable</w:t>
      </w:r>
    </w:p>
    <w:p>
      <w:pPr>
        <w:spacing w:after="160"/>
      </w:pPr>
      <w:r>
        <w:rPr>
          <w:b/>
          <w:i/>
          <w:color w:val="1B5E20"/>
          <w:sz w:val="18"/>
        </w:rPr>
        <w:t xml:space="preserve">▶ Fuente documental: </w:t>
      </w:r>
      <w:r>
        <w:rPr>
          <w:i/>
          <w:color w:val="606060"/>
          <w:sz w:val="18"/>
        </w:rPr>
        <w:t>Modificacion Manual de Contabilidad SUDEBAN (Circular SIB-II-GGR-GNP-12161); presentacion 'Impacto contable UVCC'.</w:t>
      </w:r>
    </w:p>
    <w:tbl>
      <w:tblPr>
        <w:tblStyle w:val="LightGrid-Accent1"/>
        <w:tblW w:type="auto" w:w="0"/>
        <w:jc w:val="center"/>
        <w:tblLook w:firstColumn="1" w:firstRow="1" w:lastColumn="0" w:lastRow="0" w:noHBand="0" w:noVBand="1" w:val="04A0"/>
      </w:tblPr>
      <w:tblGrid>
        <w:gridCol w:w="2880"/>
        <w:gridCol w:w="2880"/>
        <w:gridCol w:w="2880"/>
      </w:tblGrid>
      <w:tr>
        <w:tc>
          <w:tcPr>
            <w:tcW w:type="dxa" w:w="1584"/>
            <w:shd w:val="clear" w:fill="1F3A5F"/>
          </w:tcPr>
          <w:p>
            <w:r/>
            <w:r>
              <w:rPr>
                <w:b/>
                <w:color w:val="FFFFFF"/>
                <w:sz w:val="20"/>
              </w:rPr>
              <w:t>Codigo</w:t>
            </w:r>
          </w:p>
        </w:tc>
        <w:tc>
          <w:tcPr>
            <w:tcW w:type="dxa" w:w="4464"/>
            <w:shd w:val="clear" w:fill="1F3A5F"/>
          </w:tcPr>
          <w:p>
            <w:r/>
            <w:r>
              <w:rPr>
                <w:b/>
                <w:color w:val="FFFFFF"/>
                <w:sz w:val="20"/>
              </w:rPr>
              <w:t>Nombre</w:t>
            </w:r>
          </w:p>
        </w:tc>
        <w:tc>
          <w:tcPr>
            <w:tcW w:type="dxa" w:w="2592"/>
            <w:shd w:val="clear" w:fill="1F3A5F"/>
          </w:tcPr>
          <w:p>
            <w:r/>
            <w:r>
              <w:rPr>
                <w:b/>
                <w:color w:val="FFFFFF"/>
                <w:sz w:val="20"/>
              </w:rPr>
              <w:t>Uso</w:t>
            </w:r>
          </w:p>
        </w:tc>
      </w:tr>
      <w:tr>
        <w:tc>
          <w:tcPr>
            <w:tcW w:type="dxa" w:w="1584"/>
          </w:tcPr>
          <w:p>
            <w:r/>
            <w:r>
              <w:rPr>
                <w:sz w:val="19"/>
              </w:rPr>
              <w:t>131.35</w:t>
            </w:r>
          </w:p>
        </w:tc>
        <w:tc>
          <w:tcPr>
            <w:tcW w:type="dxa" w:w="4464"/>
          </w:tcPr>
          <w:p>
            <w:r/>
            <w:r>
              <w:rPr>
                <w:sz w:val="19"/>
              </w:rPr>
              <w:t>Creditos comerciales vigentes objeto de las medidas del BCV</w:t>
            </w:r>
          </w:p>
        </w:tc>
        <w:tc>
          <w:tcPr>
            <w:tcW w:type="dxa" w:w="2592"/>
          </w:tcPr>
          <w:p>
            <w:r/>
            <w:r>
              <w:rPr>
                <w:sz w:val="19"/>
              </w:rPr>
              <w:t>Capital base.</w:t>
            </w:r>
          </w:p>
        </w:tc>
      </w:tr>
      <w:tr>
        <w:tc>
          <w:tcPr>
            <w:tcW w:type="dxa" w:w="1584"/>
          </w:tcPr>
          <w:p>
            <w:r/>
            <w:r>
              <w:rPr>
                <w:sz w:val="19"/>
              </w:rPr>
              <w:t>131.36</w:t>
            </w:r>
          </w:p>
        </w:tc>
        <w:tc>
          <w:tcPr>
            <w:tcW w:type="dxa" w:w="4464"/>
          </w:tcPr>
          <w:p>
            <w:r/>
            <w:r>
              <w:rPr>
                <w:sz w:val="19"/>
              </w:rPr>
              <w:t>Variacion de creditos comerciales vigentes</w:t>
            </w:r>
          </w:p>
        </w:tc>
        <w:tc>
          <w:tcPr>
            <w:tcW w:type="dxa" w:w="2592"/>
          </w:tcPr>
          <w:p>
            <w:r/>
            <w:r>
              <w:rPr>
                <w:sz w:val="19"/>
              </w:rPr>
              <w:t>Variacion del capital (M.01 incremento / M.02 disminucion).</w:t>
            </w:r>
          </w:p>
        </w:tc>
      </w:tr>
      <w:tr>
        <w:tc>
          <w:tcPr>
            <w:tcW w:type="dxa" w:w="1584"/>
          </w:tcPr>
          <w:p>
            <w:r/>
            <w:r>
              <w:rPr>
                <w:sz w:val="19"/>
              </w:rPr>
              <w:t>358.01</w:t>
            </w:r>
          </w:p>
        </w:tc>
        <w:tc>
          <w:tcPr>
            <w:tcW w:type="dxa" w:w="4464"/>
          </w:tcPr>
          <w:p>
            <w:r/>
            <w:r>
              <w:rPr>
                <w:sz w:val="19"/>
              </w:rPr>
              <w:t>Variacion de creditos comerciales (patrimonio)</w:t>
            </w:r>
          </w:p>
        </w:tc>
        <w:tc>
          <w:tcPr>
            <w:tcW w:type="dxa" w:w="2592"/>
          </w:tcPr>
          <w:p>
            <w:r/>
            <w:r>
              <w:rPr>
                <w:sz w:val="19"/>
              </w:rPr>
              <w:t>Contrapartida patrimonial de la variacion del capital.</w:t>
            </w:r>
          </w:p>
        </w:tc>
      </w:tr>
      <w:tr>
        <w:tc>
          <w:tcPr>
            <w:tcW w:type="dxa" w:w="1584"/>
          </w:tcPr>
          <w:p>
            <w:r/>
            <w:r>
              <w:rPr>
                <w:sz w:val="19"/>
              </w:rPr>
              <w:t>513.01.M.35</w:t>
            </w:r>
          </w:p>
        </w:tc>
        <w:tc>
          <w:tcPr>
            <w:tcW w:type="dxa" w:w="4464"/>
          </w:tcPr>
          <w:p>
            <w:r/>
            <w:r>
              <w:rPr>
                <w:sz w:val="19"/>
              </w:rPr>
              <w:t>Rendimientos por creditos comerciales vigentes</w:t>
            </w:r>
          </w:p>
        </w:tc>
        <w:tc>
          <w:tcPr>
            <w:tcW w:type="dxa" w:w="2592"/>
          </w:tcPr>
          <w:p>
            <w:r/>
            <w:r>
              <w:rPr>
                <w:sz w:val="19"/>
              </w:rPr>
              <w:t>Interes del componente base.</w:t>
            </w:r>
          </w:p>
        </w:tc>
      </w:tr>
      <w:tr>
        <w:tc>
          <w:tcPr>
            <w:tcW w:type="dxa" w:w="1584"/>
          </w:tcPr>
          <w:p>
            <w:r/>
            <w:r>
              <w:rPr>
                <w:sz w:val="19"/>
              </w:rPr>
              <w:t>513.01.M.36</w:t>
            </w:r>
          </w:p>
        </w:tc>
        <w:tc>
          <w:tcPr>
            <w:tcW w:type="dxa" w:w="4464"/>
          </w:tcPr>
          <w:p>
            <w:r/>
            <w:r>
              <w:rPr>
                <w:sz w:val="19"/>
              </w:rPr>
              <w:t>Rendimientos por variacion de creditos comerciales</w:t>
            </w:r>
          </w:p>
        </w:tc>
        <w:tc>
          <w:tcPr>
            <w:tcW w:type="dxa" w:w="2592"/>
          </w:tcPr>
          <w:p>
            <w:r/>
            <w:r>
              <w:rPr>
                <w:sz w:val="19"/>
              </w:rPr>
              <w:t>Interes del componente de actualizacion.</w:t>
            </w:r>
          </w:p>
        </w:tc>
      </w:tr>
      <w:tr>
        <w:tc>
          <w:tcPr>
            <w:tcW w:type="dxa" w:w="1584"/>
          </w:tcPr>
          <w:p>
            <w:r/>
            <w:r>
              <w:rPr>
                <w:sz w:val="19"/>
              </w:rPr>
              <w:t>1110</w:t>
            </w:r>
          </w:p>
        </w:tc>
        <w:tc>
          <w:tcPr>
            <w:tcW w:type="dxa" w:w="4464"/>
          </w:tcPr>
          <w:p>
            <w:r/>
            <w:r>
              <w:rPr>
                <w:sz w:val="19"/>
              </w:rPr>
              <w:t>Banco</w:t>
            </w:r>
          </w:p>
        </w:tc>
        <w:tc>
          <w:tcPr>
            <w:tcW w:type="dxa" w:w="2592"/>
          </w:tcPr>
          <w:p>
            <w:r/>
            <w:r>
              <w:rPr>
                <w:sz w:val="19"/>
              </w:rPr>
              <w:t>Efectivo (elaboracion propia: codigo generico).</w:t>
            </w:r>
          </w:p>
        </w:tc>
      </w:tr>
      <w:tr>
        <w:tc>
          <w:tcPr>
            <w:tcW w:type="dxa" w:w="1584"/>
          </w:tcPr>
          <w:p>
            <w:r/>
            <w:r>
              <w:rPr>
                <w:sz w:val="19"/>
              </w:rPr>
              <w:t>138.00</w:t>
            </w:r>
          </w:p>
        </w:tc>
        <w:tc>
          <w:tcPr>
            <w:tcW w:type="dxa" w:w="4464"/>
          </w:tcPr>
          <w:p>
            <w:r/>
            <w:r>
              <w:rPr>
                <w:sz w:val="19"/>
              </w:rPr>
              <w:t>Rendimientos por cobrar</w:t>
            </w:r>
          </w:p>
        </w:tc>
        <w:tc>
          <w:tcPr>
            <w:tcW w:type="dxa" w:w="2592"/>
          </w:tcPr>
          <w:p>
            <w:r/>
            <w:r>
              <w:rPr>
                <w:sz w:val="19"/>
              </w:rPr>
              <w:t>Interes y mora por cobrar (elaboracion propia).</w:t>
            </w:r>
          </w:p>
        </w:tc>
      </w:tr>
      <w:tr>
        <w:tc>
          <w:tcPr>
            <w:tcW w:type="dxa" w:w="1584"/>
          </w:tcPr>
          <w:p>
            <w:r/>
            <w:r>
              <w:rPr>
                <w:sz w:val="19"/>
              </w:rPr>
              <w:t>532.00</w:t>
            </w:r>
          </w:p>
        </w:tc>
        <w:tc>
          <w:tcPr>
            <w:tcW w:type="dxa" w:w="4464"/>
          </w:tcPr>
          <w:p>
            <w:r/>
            <w:r>
              <w:rPr>
                <w:sz w:val="19"/>
              </w:rPr>
              <w:t>Comisiones flat por desembolso</w:t>
            </w:r>
          </w:p>
        </w:tc>
        <w:tc>
          <w:tcPr>
            <w:tcW w:type="dxa" w:w="2592"/>
          </w:tcPr>
          <w:p>
            <w:r/>
            <w:r>
              <w:rPr>
                <w:sz w:val="19"/>
              </w:rPr>
              <w:t>Comision flat (&lt;=0,50%); codigo de elaboracion propia.</w:t>
            </w:r>
          </w:p>
        </w:tc>
      </w:tr>
    </w:tbl>
    <w:p>
      <w:pPr>
        <w:spacing w:after="40"/>
      </w:pPr>
    </w:p>
    <w:p>
      <w:pPr>
        <w:pStyle w:val="Heading1"/>
      </w:pPr>
      <w:r>
        <w:rPr>
          <w:color w:val="1F3A5F"/>
        </w:rPr>
        <w:t>13. Asientos contables</w:t>
      </w:r>
    </w:p>
    <w:p>
      <w:pPr>
        <w:spacing w:after="160"/>
      </w:pPr>
      <w:r>
        <w:rPr>
          <w:b/>
          <w:i/>
          <w:color w:val="1F3A5F"/>
          <w:sz w:val="18"/>
        </w:rPr>
        <w:t xml:space="preserve">▶ Base en el codigo del proyecto: </w:t>
      </w:r>
      <w:r>
        <w:rPr>
          <w:i/>
          <w:color w:val="606060"/>
          <w:sz w:val="18"/>
        </w:rPr>
        <w:t>src/lib/simulator.js (buildLedger), con el plan de cuentas documentado.</w:t>
      </w:r>
    </w:p>
    <w:p>
      <w:pPr>
        <w:pStyle w:val="Heading2"/>
      </w:pPr>
      <w:r>
        <w:rPr>
          <w:color w:val="1F3A5F"/>
        </w:rPr>
        <w:t>13.1 Desembolso</w:t>
      </w:r>
    </w:p>
    <w:p>
      <w:pPr>
        <w:spacing w:after="160"/>
      </w:pPr>
      <w:r>
        <w:rPr>
          <w:b/>
          <w:i/>
          <w:color w:val="1B5E20"/>
          <w:sz w:val="18"/>
        </w:rPr>
        <w:t xml:space="preserve">▶ Fuente documental: </w:t>
      </w:r>
      <w:r>
        <w:rPr>
          <w:i/>
          <w:color w:val="606060"/>
          <w:sz w:val="18"/>
        </w:rPr>
        <w:t>Comision flat: Aviso Oficial G.O. 41.742. Cuentas: Manual SUDEBAN.</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shd w:val="clear" w:fill="1F3A5F"/>
          </w:tcPr>
          <w:p>
            <w:r/>
            <w:r>
              <w:rPr>
                <w:b/>
                <w:color w:val="FFFFFF"/>
                <w:sz w:val="20"/>
              </w:rPr>
              <w:t>Debe</w:t>
            </w:r>
          </w:p>
        </w:tc>
        <w:tc>
          <w:tcPr>
            <w:tcW w:type="dxa" w:w="2880"/>
            <w:shd w:val="clear" w:fill="1F3A5F"/>
          </w:tcPr>
          <w:p>
            <w:r/>
            <w:r>
              <w:rPr>
                <w:b/>
                <w:color w:val="FFFFFF"/>
                <w:sz w:val="20"/>
              </w:rPr>
              <w:t>Haber</w:t>
            </w:r>
          </w:p>
        </w:tc>
        <w:tc>
          <w:tcPr>
            <w:tcW w:type="dxa" w:w="2880"/>
            <w:shd w:val="clear" w:fill="1F3A5F"/>
          </w:tcPr>
          <w:p>
            <w:r/>
            <w:r>
              <w:rPr>
                <w:b/>
                <w:color w:val="FFFFFF"/>
                <w:sz w:val="20"/>
              </w:rPr>
              <w:t>Descripcion</w:t>
            </w:r>
          </w:p>
        </w:tc>
      </w:tr>
      <w:tr>
        <w:tc>
          <w:tcPr>
            <w:tcW w:type="dxa" w:w="3600"/>
          </w:tcPr>
          <w:p>
            <w:r/>
            <w:r>
              <w:rPr>
                <w:sz w:val="19"/>
              </w:rPr>
              <w:t>131.35 Creditos comerciales (capital)</w:t>
            </w:r>
          </w:p>
        </w:tc>
        <w:tc>
          <w:tcPr>
            <w:tcW w:type="dxa" w:w="2880"/>
          </w:tcPr>
          <w:p>
            <w:r/>
            <w:r>
              <w:rPr>
                <w:sz w:val="19"/>
              </w:rPr>
            </w:r>
          </w:p>
        </w:tc>
        <w:tc>
          <w:tcPr>
            <w:tcW w:type="dxa" w:w="2880"/>
          </w:tcPr>
          <w:p>
            <w:r/>
            <w:r>
              <w:rPr>
                <w:sz w:val="19"/>
              </w:rPr>
              <w:t>Monto desembolsado en Bs</w:t>
            </w:r>
          </w:p>
        </w:tc>
      </w:tr>
      <w:tr>
        <w:tc>
          <w:tcPr>
            <w:tcW w:type="dxa" w:w="3600"/>
          </w:tcPr>
          <w:p>
            <w:r/>
            <w:r>
              <w:rPr>
                <w:sz w:val="19"/>
              </w:rPr>
            </w:r>
          </w:p>
        </w:tc>
        <w:tc>
          <w:tcPr>
            <w:tcW w:type="dxa" w:w="2880"/>
          </w:tcPr>
          <w:p>
            <w:r/>
            <w:r>
              <w:rPr>
                <w:sz w:val="19"/>
              </w:rPr>
              <w:t>1110 Banco</w:t>
            </w:r>
          </w:p>
        </w:tc>
        <w:tc>
          <w:tcPr>
            <w:tcW w:type="dxa" w:w="2880"/>
          </w:tcPr>
          <w:p>
            <w:r/>
            <w:r>
              <w:rPr>
                <w:sz w:val="19"/>
              </w:rPr>
              <w:t>Efectivo entregado al cliente</w:t>
            </w:r>
          </w:p>
        </w:tc>
      </w:tr>
      <w:tr>
        <w:tc>
          <w:tcPr>
            <w:tcW w:type="dxa" w:w="3600"/>
          </w:tcPr>
          <w:p>
            <w:r/>
            <w:r>
              <w:rPr>
                <w:sz w:val="19"/>
              </w:rPr>
            </w:r>
          </w:p>
        </w:tc>
        <w:tc>
          <w:tcPr>
            <w:tcW w:type="dxa" w:w="2880"/>
          </w:tcPr>
          <w:p>
            <w:r/>
            <w:r>
              <w:rPr>
                <w:sz w:val="19"/>
              </w:rPr>
              <w:t>532.00 Comision flat</w:t>
            </w:r>
          </w:p>
        </w:tc>
        <w:tc>
          <w:tcPr>
            <w:tcW w:type="dxa" w:w="2880"/>
          </w:tcPr>
          <w:p>
            <w:r/>
            <w:r>
              <w:rPr>
                <w:sz w:val="19"/>
              </w:rPr>
              <w:t>Comision retenida (max. 0,50%)</w:t>
            </w:r>
          </w:p>
        </w:tc>
      </w:tr>
    </w:tbl>
    <w:p>
      <w:pPr>
        <w:spacing w:after="40"/>
      </w:pPr>
    </w:p>
    <w:p>
      <w:pPr>
        <w:pStyle w:val="Heading2"/>
      </w:pPr>
      <w:r>
        <w:rPr>
          <w:color w:val="1F3A5F"/>
        </w:rPr>
        <w:t>13.2 Devengo de intereses (cada periodo)</w:t>
      </w:r>
    </w:p>
    <w:p>
      <w:pPr>
        <w:spacing w:after="160"/>
      </w:pPr>
      <w:r>
        <w:rPr>
          <w:b/>
          <w:i/>
          <w:color w:val="1B5E20"/>
          <w:sz w:val="18"/>
        </w:rPr>
        <w:t xml:space="preserve">▶ Fuente documental: </w:t>
      </w:r>
      <w:r>
        <w:rPr>
          <w:i/>
          <w:color w:val="606060"/>
          <w:sz w:val="18"/>
        </w:rPr>
        <w:t>Separacion base/variacion segun cuentas 513.01.M.35 y 513.01.M.36.</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3A5F"/>
          </w:tcPr>
          <w:p>
            <w:r/>
            <w:r>
              <w:rPr>
                <w:b/>
                <w:color w:val="FFFFFF"/>
                <w:sz w:val="20"/>
              </w:rPr>
              <w:t>Debe</w:t>
            </w:r>
          </w:p>
        </w:tc>
        <w:tc>
          <w:tcPr>
            <w:tcW w:type="dxa" w:w="5040"/>
            <w:shd w:val="clear" w:fill="1F3A5F"/>
          </w:tcPr>
          <w:p>
            <w:r/>
            <w:r>
              <w:rPr>
                <w:b/>
                <w:color w:val="FFFFFF"/>
                <w:sz w:val="20"/>
              </w:rPr>
              <w:t>Haber</w:t>
            </w:r>
          </w:p>
        </w:tc>
      </w:tr>
      <w:tr>
        <w:tc>
          <w:tcPr>
            <w:tcW w:type="dxa" w:w="4320"/>
          </w:tcPr>
          <w:p>
            <w:r/>
            <w:r>
              <w:rPr>
                <w:sz w:val="19"/>
              </w:rPr>
              <w:t>138.00 Rendimientos por cobrar</w:t>
            </w:r>
          </w:p>
        </w:tc>
        <w:tc>
          <w:tcPr>
            <w:tcW w:type="dxa" w:w="5040"/>
          </w:tcPr>
          <w:p>
            <w:r/>
            <w:r>
              <w:rPr>
                <w:sz w:val="19"/>
              </w:rPr>
            </w:r>
          </w:p>
        </w:tc>
      </w:tr>
      <w:tr>
        <w:tc>
          <w:tcPr>
            <w:tcW w:type="dxa" w:w="4320"/>
          </w:tcPr>
          <w:p>
            <w:r/>
            <w:r>
              <w:rPr>
                <w:sz w:val="19"/>
              </w:rPr>
            </w:r>
          </w:p>
        </w:tc>
        <w:tc>
          <w:tcPr>
            <w:tcW w:type="dxa" w:w="5040"/>
          </w:tcPr>
          <w:p>
            <w:r/>
            <w:r>
              <w:rPr>
                <w:sz w:val="19"/>
              </w:rPr>
              <w:t>513.01.M.35 Rendimiento (componente base)</w:t>
            </w:r>
          </w:p>
        </w:tc>
      </w:tr>
      <w:tr>
        <w:tc>
          <w:tcPr>
            <w:tcW w:type="dxa" w:w="4320"/>
          </w:tcPr>
          <w:p>
            <w:r/>
            <w:r>
              <w:rPr>
                <w:sz w:val="19"/>
              </w:rPr>
            </w:r>
          </w:p>
        </w:tc>
        <w:tc>
          <w:tcPr>
            <w:tcW w:type="dxa" w:w="5040"/>
          </w:tcPr>
          <w:p>
            <w:r/>
            <w:r>
              <w:rPr>
                <w:sz w:val="19"/>
              </w:rPr>
              <w:t>513.01.M.36 Rendimiento (componente de actualizacion)</w:t>
            </w:r>
          </w:p>
        </w:tc>
      </w:tr>
    </w:tbl>
    <w:p>
      <w:pPr>
        <w:spacing w:after="40"/>
      </w:pPr>
    </w:p>
    <w:p>
      <w:pPr>
        <w:pStyle w:val="Heading2"/>
      </w:pPr>
      <w:r>
        <w:rPr>
          <w:color w:val="1F3A5F"/>
        </w:rPr>
        <w:t>13.3 Variacion de capital (actualizacion por IDI)</w:t>
      </w:r>
    </w:p>
    <w:p>
      <w:pPr>
        <w:spacing w:after="160"/>
      </w:pPr>
      <w:r>
        <w:rPr>
          <w:b/>
          <w:i/>
          <w:color w:val="1B5E20"/>
          <w:sz w:val="18"/>
        </w:rPr>
        <w:t xml:space="preserve">▶ Fuente documental: </w:t>
      </w:r>
      <w:r>
        <w:rPr>
          <w:i/>
          <w:color w:val="606060"/>
          <w:sz w:val="18"/>
        </w:rPr>
        <w:t>Cuentas 131.36 / 358.01 (Manual SUDEBAN; presentacion contable).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3A5F"/>
          </w:tcPr>
          <w:p>
            <w:r/>
            <w:r>
              <w:rPr>
                <w:b/>
                <w:color w:val="FFFFFF"/>
                <w:sz w:val="20"/>
              </w:rPr>
              <w:t>Debe</w:t>
            </w:r>
          </w:p>
        </w:tc>
        <w:tc>
          <w:tcPr>
            <w:tcW w:type="dxa" w:w="5040"/>
            <w:shd w:val="clear" w:fill="1F3A5F"/>
          </w:tcPr>
          <w:p>
            <w:r/>
            <w:r>
              <w:rPr>
                <w:b/>
                <w:color w:val="FFFFFF"/>
                <w:sz w:val="20"/>
              </w:rPr>
              <w:t>Haber</w:t>
            </w:r>
          </w:p>
        </w:tc>
      </w:tr>
      <w:tr>
        <w:tc>
          <w:tcPr>
            <w:tcW w:type="dxa" w:w="4320"/>
          </w:tcPr>
          <w:p>
            <w:r/>
            <w:r>
              <w:rPr>
                <w:sz w:val="19"/>
              </w:rPr>
              <w:t>131.36 Variacion de creditos comerciales</w:t>
            </w:r>
          </w:p>
        </w:tc>
        <w:tc>
          <w:tcPr>
            <w:tcW w:type="dxa" w:w="5040"/>
          </w:tcPr>
          <w:p>
            <w:r/>
            <w:r>
              <w:rPr>
                <w:sz w:val="19"/>
              </w:rPr>
            </w:r>
          </w:p>
        </w:tc>
      </w:tr>
      <w:tr>
        <w:tc>
          <w:tcPr>
            <w:tcW w:type="dxa" w:w="4320"/>
          </w:tcPr>
          <w:p>
            <w:r/>
            <w:r>
              <w:rPr>
                <w:sz w:val="19"/>
              </w:rPr>
            </w:r>
          </w:p>
        </w:tc>
        <w:tc>
          <w:tcPr>
            <w:tcW w:type="dxa" w:w="5040"/>
          </w:tcPr>
          <w:p>
            <w:r/>
            <w:r>
              <w:rPr>
                <w:sz w:val="19"/>
              </w:rPr>
              <w:t>358.01 Variacion de creditos comerciales (patrimonio)</w:t>
            </w:r>
          </w:p>
        </w:tc>
      </w:tr>
    </w:tbl>
    <w:p>
      <w:pPr>
        <w:spacing w:after="40"/>
      </w:pPr>
    </w:p>
    <w:p>
      <w:r>
        <w:t>Una disminucion del IDI invierte el asiento (debe 358.01 / haber 131.36).</w:t>
      </w:r>
    </w:p>
    <w:p>
      <w:pPr>
        <w:pStyle w:val="Heading2"/>
      </w:pPr>
      <w:r>
        <w:rPr>
          <w:color w:val="1F3A5F"/>
        </w:rPr>
        <w:t>13.4 Devengo de mora y cobro de la cuota</w:t>
      </w:r>
    </w:p>
    <w:p>
      <w:pPr>
        <w:spacing w:after="160"/>
      </w:pPr>
      <w:r>
        <w:rPr>
          <w:b/>
          <w:i/>
          <w:color w:val="1F3A5F"/>
          <w:sz w:val="18"/>
        </w:rPr>
        <w:t xml:space="preserve">▶ Base en el codigo del proyecto: </w:t>
      </w:r>
      <w:r>
        <w:rPr>
          <w:i/>
          <w:color w:val="606060"/>
          <w:sz w:val="18"/>
        </w:rPr>
        <w:t>src/lib/simulator.js (buildLedger).</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shd w:val="clear" w:fill="1F3A5F"/>
          </w:tcPr>
          <w:p>
            <w:r/>
            <w:r>
              <w:rPr>
                <w:b/>
                <w:color w:val="FFFFFF"/>
                <w:sz w:val="20"/>
              </w:rPr>
              <w:t>Evento</w:t>
            </w:r>
          </w:p>
        </w:tc>
        <w:tc>
          <w:tcPr>
            <w:tcW w:type="dxa" w:w="3744"/>
            <w:shd w:val="clear" w:fill="1F3A5F"/>
          </w:tcPr>
          <w:p>
            <w:r/>
            <w:r>
              <w:rPr>
                <w:b/>
                <w:color w:val="FFFFFF"/>
                <w:sz w:val="20"/>
              </w:rPr>
              <w:t>Debe</w:t>
            </w:r>
          </w:p>
        </w:tc>
        <w:tc>
          <w:tcPr>
            <w:tcW w:type="dxa" w:w="3600"/>
            <w:shd w:val="clear" w:fill="1F3A5F"/>
          </w:tcPr>
          <w:p>
            <w:r/>
            <w:r>
              <w:rPr>
                <w:b/>
                <w:color w:val="FFFFFF"/>
                <w:sz w:val="20"/>
              </w:rPr>
              <w:t>Haber</w:t>
            </w:r>
          </w:p>
        </w:tc>
      </w:tr>
      <w:tr>
        <w:tc>
          <w:tcPr>
            <w:tcW w:type="dxa" w:w="2016"/>
          </w:tcPr>
          <w:p>
            <w:r/>
            <w:r>
              <w:rPr>
                <w:sz w:val="19"/>
              </w:rPr>
              <w:t>Devengo mora</w:t>
            </w:r>
          </w:p>
        </w:tc>
        <w:tc>
          <w:tcPr>
            <w:tcW w:type="dxa" w:w="3744"/>
          </w:tcPr>
          <w:p>
            <w:r/>
            <w:r>
              <w:rPr>
                <w:sz w:val="19"/>
              </w:rPr>
              <w:t>138.00 Rendimientos por cobrar (mora)</w:t>
            </w:r>
          </w:p>
        </w:tc>
        <w:tc>
          <w:tcPr>
            <w:tcW w:type="dxa" w:w="3600"/>
          </w:tcPr>
          <w:p>
            <w:r/>
            <w:r>
              <w:rPr>
                <w:sz w:val="19"/>
              </w:rPr>
              <w:t>513.01.M.35 Ingresos por mora</w:t>
            </w:r>
          </w:p>
        </w:tc>
      </w:tr>
      <w:tr>
        <w:tc>
          <w:tcPr>
            <w:tcW w:type="dxa" w:w="2016"/>
          </w:tcPr>
          <w:p>
            <w:r/>
            <w:r>
              <w:rPr>
                <w:sz w:val="19"/>
              </w:rPr>
              <w:t>Cobro de cuota</w:t>
            </w:r>
          </w:p>
        </w:tc>
        <w:tc>
          <w:tcPr>
            <w:tcW w:type="dxa" w:w="3744"/>
          </w:tcPr>
          <w:p>
            <w:r/>
            <w:r>
              <w:rPr>
                <w:sz w:val="19"/>
              </w:rPr>
              <w:t>1110 Banco</w:t>
            </w:r>
          </w:p>
        </w:tc>
        <w:tc>
          <w:tcPr>
            <w:tcW w:type="dxa" w:w="3600"/>
          </w:tcPr>
          <w:p>
            <w:r/>
            <w:r>
              <w:rPr>
                <w:sz w:val="19"/>
              </w:rPr>
              <w:t>131.35 capital / 138.00 intereses / mora</w:t>
            </w:r>
          </w:p>
        </w:tc>
      </w:tr>
    </w:tbl>
    <w:p>
      <w:pPr>
        <w:spacing w:after="40"/>
      </w:pPr>
    </w:p>
    <w:p>
      <w:pPr>
        <w:pStyle w:val="Heading1"/>
      </w:pPr>
      <w:r>
        <w:rPr>
          <w:color w:val="1F3A5F"/>
        </w:rPr>
        <w:t>14. Cancelacion anticipada y piso de IDI</w:t>
      </w:r>
    </w:p>
    <w:p>
      <w:pPr>
        <w:spacing w:after="160"/>
      </w:pPr>
      <w:r>
        <w:rPr>
          <w:b/>
          <w:i/>
          <w:color w:val="1B5E20"/>
          <w:sz w:val="18"/>
        </w:rPr>
        <w:t xml:space="preserve">▶ Fuente documental: </w:t>
      </w:r>
      <w:r>
        <w:rPr>
          <w:i/>
          <w:color w:val="606060"/>
          <w:sz w:val="18"/>
        </w:rPr>
        <w:t>Resolucion BCV 21-01-02, Art. 5 lit. b/c y Art. 6; Circular SUDEBAN 13083.</w:t>
      </w:r>
    </w:p>
    <w:p>
      <w:r>
        <w:t>El deudor puede cancelar anticipadamente sin penalidad. Si el IDI de la fecha de pago resulta menor al IDI de otorgamiento, para determinar el monto a pagar se usa el IDI de otorgamiento:</w:t>
      </w:r>
    </w:p>
    <w:p>
      <w:pPr>
        <w:spacing w:before="40" w:after="160"/>
        <w:ind w:left="432"/>
      </w:pPr>
      <w:r>
        <w:rPr>
          <w:rFonts w:ascii="Consolas" w:hAnsi="Consolas"/>
          <w:color w:val="4A148C"/>
          <w:sz w:val="20"/>
        </w:rPr>
        <w:t>IDI_efectivo = max( IDI_fecha_pago , IDI_desembolso )</w:t>
      </w:r>
    </w:p>
    <w:p>
      <w:r>
        <w:t>En condiciones normales (IDI creciente) no tiene efecto; solo actua si el IDI baja por debajo del de otorgamiento. Parametro: idiFloorOnPrepay (activo por defecto).</w:t>
      </w:r>
    </w:p>
    <w:p>
      <w:pPr>
        <w:pStyle w:val="Heading1"/>
      </w:pPr>
      <w:r>
        <w:rPr>
          <w:color w:val="1F3A5F"/>
        </w:rPr>
        <w:t>15. Prepagos y reconduccion del calendario</w:t>
      </w:r>
    </w:p>
    <w:p>
      <w:pPr>
        <w:spacing w:after="160"/>
      </w:pPr>
      <w:r>
        <w:rPr>
          <w:b/>
          <w:i/>
          <w:color w:val="9A5200"/>
          <w:sz w:val="18"/>
        </w:rPr>
        <w:t xml:space="preserve">▶ Elaboracion propia (no consta en la documentacion; creado por el asistente): </w:t>
      </w:r>
      <w:r>
        <w:rPr>
          <w:i/>
          <w:color w:val="606060"/>
          <w:sz w:val="18"/>
        </w:rPr>
        <w:t>El derecho a prepagar sin penalidad es regulatorio; las dos politicas de reconduccion son criterio del sistema.</w:t>
      </w:r>
    </w:p>
    <w:tbl>
      <w:tblPr>
        <w:tblStyle w:val="LightGrid-Accent1"/>
        <w:tblW w:type="auto" w:w="0"/>
        <w:jc w:val="center"/>
        <w:tblLook w:firstColumn="1" w:firstRow="1" w:lastColumn="0" w:lastRow="0" w:noHBand="0" w:noVBand="1" w:val="04A0"/>
      </w:tblPr>
      <w:tblGrid>
        <w:gridCol w:w="4320"/>
        <w:gridCol w:w="4320"/>
      </w:tblGrid>
      <w:tr>
        <w:tc>
          <w:tcPr>
            <w:tcW w:type="dxa" w:w="3744"/>
            <w:shd w:val="clear" w:fill="1F3A5F"/>
          </w:tcPr>
          <w:p>
            <w:r/>
            <w:r>
              <w:rPr>
                <w:b/>
                <w:color w:val="FFFFFF"/>
                <w:sz w:val="20"/>
              </w:rPr>
              <w:t>Politica</w:t>
            </w:r>
          </w:p>
        </w:tc>
        <w:tc>
          <w:tcPr>
            <w:tcW w:type="dxa" w:w="5616"/>
            <w:shd w:val="clear" w:fill="1F3A5F"/>
          </w:tcPr>
          <w:p>
            <w:r/>
            <w:r>
              <w:rPr>
                <w:b/>
                <w:color w:val="FFFFFF"/>
                <w:sz w:val="20"/>
              </w:rPr>
              <w:t>Efecto</w:t>
            </w:r>
          </w:p>
        </w:tc>
      </w:tr>
      <w:tr>
        <w:tc>
          <w:tcPr>
            <w:tcW w:type="dxa" w:w="3744"/>
          </w:tcPr>
          <w:p>
            <w:r/>
            <w:r>
              <w:rPr>
                <w:sz w:val="19"/>
              </w:rPr>
              <w:t>Reducir plazo (reduce_term)</w:t>
            </w:r>
          </w:p>
        </w:tc>
        <w:tc>
          <w:tcPr>
            <w:tcW w:type="dxa" w:w="5616"/>
          </w:tcPr>
          <w:p>
            <w:r/>
            <w:r>
              <w:rPr>
                <w:sz w:val="19"/>
              </w:rPr>
              <w:t>Se mantiene la cuota y se acorta el numero de cuotas.</w:t>
            </w:r>
          </w:p>
        </w:tc>
      </w:tr>
      <w:tr>
        <w:tc>
          <w:tcPr>
            <w:tcW w:type="dxa" w:w="3744"/>
          </w:tcPr>
          <w:p>
            <w:r/>
            <w:r>
              <w:rPr>
                <w:sz w:val="19"/>
              </w:rPr>
              <w:t>Reducir cuota (reduce_installment)</w:t>
            </w:r>
          </w:p>
        </w:tc>
        <w:tc>
          <w:tcPr>
            <w:tcW w:type="dxa" w:w="5616"/>
          </w:tcPr>
          <w:p>
            <w:r/>
            <w:r>
              <w:rPr>
                <w:sz w:val="19"/>
              </w:rPr>
              <w:t>Se mantiene el plazo y baja la cuota.</w:t>
            </w:r>
          </w:p>
        </w:tc>
      </w:tr>
    </w:tbl>
    <w:p>
      <w:pPr>
        <w:spacing w:after="40"/>
      </w:pPr>
    </w:p>
    <w:p>
      <w:pPr>
        <w:spacing w:before="40" w:after="160"/>
        <w:ind w:left="432"/>
      </w:pPr>
      <w:r>
        <w:rPr>
          <w:rFonts w:ascii="Consolas" w:hAnsi="Consolas"/>
          <w:color w:val="4A148C"/>
          <w:sz w:val="20"/>
        </w:rPr>
        <w:t>Nueva_Cuota_UVC = Nuevo_Saldo_UVC x [ i / (1 - (1+i)^(-n_restante)) ]</w:t>
      </w:r>
    </w:p>
    <w:p>
      <w:pPr>
        <w:pStyle w:val="Heading1"/>
      </w:pPr>
      <w:r>
        <w:rPr>
          <w:color w:val="1F3A5F"/>
        </w:rPr>
        <w:t>16. Topes regulatorios y validacion del sistema</w:t>
      </w:r>
    </w:p>
    <w:p>
      <w:pPr>
        <w:spacing w:after="160"/>
      </w:pPr>
      <w:r>
        <w:rPr>
          <w:b/>
          <w:i/>
          <w:color w:val="1B5E20"/>
          <w:sz w:val="18"/>
        </w:rPr>
        <w:t xml:space="preserve">▶ Fuente documental: </w:t>
      </w:r>
      <w:r>
        <w:rPr>
          <w:i/>
          <w:color w:val="606060"/>
          <w:sz w:val="18"/>
        </w:rPr>
        <w:t>Resolucion 21-01-02 (Arts. 2, 3, 7) y Aviso Oficial G.O. 41.742 (comision flat).</w:t>
      </w:r>
    </w:p>
    <w:tbl>
      <w:tblPr>
        <w:tblStyle w:val="LightGrid-Accent1"/>
        <w:tblW w:type="auto" w:w="0"/>
        <w:jc w:val="center"/>
        <w:tblLook w:firstColumn="1" w:firstRow="1" w:lastColumn="0" w:lastRow="0" w:noHBand="0" w:noVBand="1" w:val="04A0"/>
      </w:tblPr>
      <w:tblGrid>
        <w:gridCol w:w="2880"/>
        <w:gridCol w:w="2880"/>
        <w:gridCol w:w="2880"/>
      </w:tblGrid>
      <w:tr>
        <w:tc>
          <w:tcPr>
            <w:tcW w:type="dxa" w:w="4320"/>
            <w:shd w:val="clear" w:fill="1F3A5F"/>
          </w:tcPr>
          <w:p>
            <w:r/>
            <w:r>
              <w:rPr>
                <w:b/>
                <w:color w:val="FFFFFF"/>
                <w:sz w:val="20"/>
              </w:rPr>
              <w:t>Parametro</w:t>
            </w:r>
          </w:p>
        </w:tc>
        <w:tc>
          <w:tcPr>
            <w:tcW w:type="dxa" w:w="2160"/>
            <w:shd w:val="clear" w:fill="1F3A5F"/>
          </w:tcPr>
          <w:p>
            <w:r/>
            <w:r>
              <w:rPr>
                <w:b/>
                <w:color w:val="FFFFFF"/>
                <w:sz w:val="20"/>
              </w:rPr>
              <w:t>Limite</w:t>
            </w:r>
          </w:p>
        </w:tc>
        <w:tc>
          <w:tcPr>
            <w:tcW w:type="dxa" w:w="2880"/>
            <w:shd w:val="clear" w:fill="1F3A5F"/>
          </w:tcPr>
          <w:p>
            <w:r/>
            <w:r>
              <w:rPr>
                <w:b/>
                <w:color w:val="FFFFFF"/>
                <w:sz w:val="20"/>
              </w:rPr>
              <w:t>Fuente</w:t>
            </w:r>
          </w:p>
        </w:tc>
      </w:tr>
      <w:tr>
        <w:tc>
          <w:tcPr>
            <w:tcW w:type="dxa" w:w="4320"/>
          </w:tcPr>
          <w:p>
            <w:r/>
            <w:r>
              <w:rPr>
                <w:sz w:val="19"/>
              </w:rPr>
              <w:t>Tasa de interes (UVC comercial/microcredito)</w:t>
            </w:r>
          </w:p>
        </w:tc>
        <w:tc>
          <w:tcPr>
            <w:tcW w:type="dxa" w:w="2160"/>
          </w:tcPr>
          <w:p>
            <w:r/>
            <w:r>
              <w:rPr>
                <w:sz w:val="19"/>
              </w:rPr>
              <w:t>4% a 10%</w:t>
            </w:r>
          </w:p>
        </w:tc>
        <w:tc>
          <w:tcPr>
            <w:tcW w:type="dxa" w:w="2880"/>
          </w:tcPr>
          <w:p>
            <w:r/>
            <w:r>
              <w:rPr>
                <w:sz w:val="19"/>
              </w:rPr>
              <w:t>Art. 3</w:t>
            </w:r>
          </w:p>
        </w:tc>
      </w:tr>
      <w:tr>
        <w:tc>
          <w:tcPr>
            <w:tcW w:type="dxa" w:w="4320"/>
          </w:tcPr>
          <w:p>
            <w:r/>
            <w:r>
              <w:rPr>
                <w:sz w:val="19"/>
              </w:rPr>
              <w:t>Tasa de interes (Cartera Productiva)</w:t>
            </w:r>
          </w:p>
        </w:tc>
        <w:tc>
          <w:tcPr>
            <w:tcW w:type="dxa" w:w="2160"/>
          </w:tcPr>
          <w:p>
            <w:r/>
            <w:r>
              <w:rPr>
                <w:sz w:val="19"/>
              </w:rPr>
              <w:t>2%</w:t>
            </w:r>
          </w:p>
        </w:tc>
        <w:tc>
          <w:tcPr>
            <w:tcW w:type="dxa" w:w="2880"/>
          </w:tcPr>
          <w:p>
            <w:r/>
            <w:r>
              <w:rPr>
                <w:sz w:val="19"/>
              </w:rPr>
              <w:t>Art. 2</w:t>
            </w:r>
          </w:p>
        </w:tc>
      </w:tr>
      <w:tr>
        <w:tc>
          <w:tcPr>
            <w:tcW w:type="dxa" w:w="4320"/>
          </w:tcPr>
          <w:p>
            <w:r/>
            <w:r>
              <w:rPr>
                <w:sz w:val="19"/>
              </w:rPr>
              <w:t>Mora (UVC)</w:t>
            </w:r>
          </w:p>
        </w:tc>
        <w:tc>
          <w:tcPr>
            <w:tcW w:type="dxa" w:w="2160"/>
          </w:tcPr>
          <w:p>
            <w:r/>
            <w:r>
              <w:rPr>
                <w:sz w:val="19"/>
              </w:rPr>
              <w:t>&lt;= 0,80%</w:t>
            </w:r>
          </w:p>
        </w:tc>
        <w:tc>
          <w:tcPr>
            <w:tcW w:type="dxa" w:w="2880"/>
          </w:tcPr>
          <w:p>
            <w:r/>
            <w:r>
              <w:rPr>
                <w:sz w:val="19"/>
              </w:rPr>
              <w:t>Art. 7</w:t>
            </w:r>
          </w:p>
        </w:tc>
      </w:tr>
      <w:tr>
        <w:tc>
          <w:tcPr>
            <w:tcW w:type="dxa" w:w="4320"/>
          </w:tcPr>
          <w:p>
            <w:r/>
            <w:r>
              <w:rPr>
                <w:sz w:val="19"/>
              </w:rPr>
              <w:t>Mora (no UVC)</w:t>
            </w:r>
          </w:p>
        </w:tc>
        <w:tc>
          <w:tcPr>
            <w:tcW w:type="dxa" w:w="2160"/>
          </w:tcPr>
          <w:p>
            <w:r/>
            <w:r>
              <w:rPr>
                <w:sz w:val="19"/>
              </w:rPr>
              <w:t>&lt;= 3%</w:t>
            </w:r>
          </w:p>
        </w:tc>
        <w:tc>
          <w:tcPr>
            <w:tcW w:type="dxa" w:w="2880"/>
          </w:tcPr>
          <w:p>
            <w:r/>
            <w:r>
              <w:rPr>
                <w:sz w:val="19"/>
              </w:rPr>
              <w:t>Art. 7 P.U.</w:t>
            </w:r>
          </w:p>
        </w:tc>
      </w:tr>
      <w:tr>
        <w:tc>
          <w:tcPr>
            <w:tcW w:type="dxa" w:w="4320"/>
          </w:tcPr>
          <w:p>
            <w:r/>
            <w:r>
              <w:rPr>
                <w:sz w:val="19"/>
              </w:rPr>
              <w:t>Comision flat de desembolso</w:t>
            </w:r>
          </w:p>
        </w:tc>
        <w:tc>
          <w:tcPr>
            <w:tcW w:type="dxa" w:w="2160"/>
          </w:tcPr>
          <w:p>
            <w:r/>
            <w:r>
              <w:rPr>
                <w:sz w:val="19"/>
              </w:rPr>
              <w:t>&lt;= 0,50%</w:t>
            </w:r>
          </w:p>
        </w:tc>
        <w:tc>
          <w:tcPr>
            <w:tcW w:type="dxa" w:w="2880"/>
          </w:tcPr>
          <w:p>
            <w:r/>
            <w:r>
              <w:rPr>
                <w:sz w:val="19"/>
              </w:rPr>
              <w:t>Aviso Oficial G.O. 41.742</w:t>
            </w:r>
          </w:p>
        </w:tc>
      </w:tr>
    </w:tbl>
    <w:p>
      <w:pPr>
        <w:spacing w:after="40"/>
      </w:pPr>
    </w:p>
    <w:p>
      <w:r>
        <w:t>El sistema evalua estos limites (modulo regulatory.js) y, salvo en modo referencia, bloquea la simulacion cuando se exceden las tasas o la comision.</w:t>
      </w:r>
    </w:p>
    <w:p>
      <w:pPr>
        <w:pStyle w:val="Heading2"/>
      </w:pPr>
      <w:r>
        <w:rPr>
          <w:color w:val="1F3A5F"/>
        </w:rPr>
        <w:t>16.1 Modo referencia / historico</w:t>
      </w:r>
    </w:p>
    <w:p>
      <w:pPr>
        <w:spacing w:after="160"/>
      </w:pPr>
      <w:r>
        <w:rPr>
          <w:b/>
          <w:i/>
          <w:color w:val="9A5200"/>
          <w:sz w:val="18"/>
        </w:rPr>
        <w:t xml:space="preserve">▶ Elaboracion propia (no consta en la documentacion; creado por el asistente): </w:t>
      </w:r>
      <w:r>
        <w:rPr>
          <w:i/>
          <w:color w:val="606060"/>
          <w:sz w:val="18"/>
        </w:rPr>
        <w:t>Mecanismo creado por el asistente para reproducir tablas previas a 2021 (Nayrobis 16%/3%).</w:t>
      </w:r>
    </w:p>
    <w:p>
      <w:r>
        <w:t>Cuando 'allowHistoricalRates' esta activo, el exceso de tasa o mora se muestra como alerta en lugar de bloquear. Al desactivarlo, se exigen estrictamente los topes vigentes.</w:t>
      </w:r>
    </w:p>
    <w:p>
      <w:pPr>
        <w:pStyle w:val="Heading1"/>
      </w:pPr>
      <w:r>
        <w:rPr>
          <w:color w:val="1F3A5F"/>
        </w:rPr>
        <w:t>17. Situaciones y condiciones operativas</w:t>
      </w:r>
    </w:p>
    <w:p>
      <w:pPr>
        <w:spacing w:after="160"/>
      </w:pPr>
      <w:r>
        <w:rPr>
          <w:b/>
          <w:i/>
          <w:color w:val="9A5200"/>
          <w:sz w:val="18"/>
        </w:rPr>
        <w:t xml:space="preserve">▶ Elaboracion propia (no consta en la documentacion; creado por el asistente): </w:t>
      </w:r>
      <w:r>
        <w:rPr>
          <w:i/>
          <w:color w:val="606060"/>
          <w:sz w:val="18"/>
        </w:rPr>
        <w:t>Casuistica integrada por el asistente a partir de las reglas anteriores.</w:t>
      </w:r>
    </w:p>
    <w:tbl>
      <w:tblPr>
        <w:tblStyle w:val="LightGrid-Accent1"/>
        <w:tblW w:type="auto" w:w="0"/>
        <w:jc w:val="center"/>
        <w:tblLook w:firstColumn="1" w:firstRow="1" w:lastColumn="0" w:lastRow="0" w:noHBand="0" w:noVBand="1" w:val="04A0"/>
      </w:tblPr>
      <w:tblGrid>
        <w:gridCol w:w="4320"/>
        <w:gridCol w:w="4320"/>
      </w:tblGrid>
      <w:tr>
        <w:tc>
          <w:tcPr>
            <w:tcW w:type="dxa" w:w="3456"/>
            <w:shd w:val="clear" w:fill="1F3A5F"/>
          </w:tcPr>
          <w:p>
            <w:r/>
            <w:r>
              <w:rPr>
                <w:b/>
                <w:color w:val="FFFFFF"/>
                <w:sz w:val="20"/>
              </w:rPr>
              <w:t>Situacion</w:t>
            </w:r>
          </w:p>
        </w:tc>
        <w:tc>
          <w:tcPr>
            <w:tcW w:type="dxa" w:w="5904"/>
            <w:shd w:val="clear" w:fill="1F3A5F"/>
          </w:tcPr>
          <w:p>
            <w:r/>
            <w:r>
              <w:rPr>
                <w:b/>
                <w:color w:val="FFFFFF"/>
                <w:sz w:val="20"/>
              </w:rPr>
              <w:t>Comportamiento esperado</w:t>
            </w:r>
          </w:p>
        </w:tc>
      </w:tr>
      <w:tr>
        <w:tc>
          <w:tcPr>
            <w:tcW w:type="dxa" w:w="3456"/>
          </w:tcPr>
          <w:p>
            <w:r/>
            <w:r>
              <w:rPr>
                <w:sz w:val="19"/>
              </w:rPr>
              <w:t>Pago al dia (sin atraso)</w:t>
            </w:r>
          </w:p>
        </w:tc>
        <w:tc>
          <w:tcPr>
            <w:tcW w:type="dxa" w:w="5904"/>
          </w:tcPr>
          <w:p>
            <w:r/>
            <w:r>
              <w:rPr>
                <w:sz w:val="19"/>
              </w:rPr>
              <w:t>No hay mora. Interes y capital se reconocen normalmente; clasificacion AL DIA.</w:t>
            </w:r>
          </w:p>
        </w:tc>
      </w:tr>
      <w:tr>
        <w:tc>
          <w:tcPr>
            <w:tcW w:type="dxa" w:w="3456"/>
          </w:tcPr>
          <w:p>
            <w:r/>
            <w:r>
              <w:rPr>
                <w:sz w:val="19"/>
              </w:rPr>
              <w:t>Atraso dentro del umbral (&lt;= mora2)</w:t>
            </w:r>
          </w:p>
        </w:tc>
        <w:tc>
          <w:tcPr>
            <w:tcW w:type="dxa" w:w="5904"/>
          </w:tcPr>
          <w:p>
            <w:r/>
            <w:r>
              <w:rPr>
                <w:sz w:val="19"/>
              </w:rPr>
              <w:t>Se cobra mora; interes y mora permanecen en cartera activa.</w:t>
            </w:r>
          </w:p>
        </w:tc>
      </w:tr>
      <w:tr>
        <w:tc>
          <w:tcPr>
            <w:tcW w:type="dxa" w:w="3456"/>
          </w:tcPr>
          <w:p>
            <w:r/>
            <w:r>
              <w:rPr>
                <w:sz w:val="19"/>
              </w:rPr>
              <w:t>Atraso sobre el umbral (&gt; mora2)</w:t>
            </w:r>
          </w:p>
        </w:tc>
        <w:tc>
          <w:tcPr>
            <w:tcW w:type="dxa" w:w="5904"/>
          </w:tcPr>
          <w:p>
            <w:r/>
            <w:r>
              <w:rPr>
                <w:sz w:val="19"/>
              </w:rPr>
              <w:t>Credito en orden/congelado: revalorizacion y rendimientos van a cuentas de orden.</w:t>
            </w:r>
          </w:p>
        </w:tc>
      </w:tr>
      <w:tr>
        <w:tc>
          <w:tcPr>
            <w:tcW w:type="dxa" w:w="3456"/>
          </w:tcPr>
          <w:p>
            <w:r/>
            <w:r>
              <w:rPr>
                <w:sz w:val="19"/>
              </w:rPr>
              <w:t>Prepago con 'reducir plazo'</w:t>
            </w:r>
          </w:p>
        </w:tc>
        <w:tc>
          <w:tcPr>
            <w:tcW w:type="dxa" w:w="5904"/>
          </w:tcPr>
          <w:p>
            <w:r/>
            <w:r>
              <w:rPr>
                <w:sz w:val="19"/>
              </w:rPr>
              <w:t>Misma cuota, termina antes.</w:t>
            </w:r>
          </w:p>
        </w:tc>
      </w:tr>
      <w:tr>
        <w:tc>
          <w:tcPr>
            <w:tcW w:type="dxa" w:w="3456"/>
          </w:tcPr>
          <w:p>
            <w:r/>
            <w:r>
              <w:rPr>
                <w:sz w:val="19"/>
              </w:rPr>
              <w:t>Prepago con 'reducir cuota'</w:t>
            </w:r>
          </w:p>
        </w:tc>
        <w:tc>
          <w:tcPr>
            <w:tcW w:type="dxa" w:w="5904"/>
          </w:tcPr>
          <w:p>
            <w:r/>
            <w:r>
              <w:rPr>
                <w:sz w:val="19"/>
              </w:rPr>
              <w:t>Mismo plazo, cuota menor.</w:t>
            </w:r>
          </w:p>
        </w:tc>
      </w:tr>
      <w:tr>
        <w:tc>
          <w:tcPr>
            <w:tcW w:type="dxa" w:w="3456"/>
          </w:tcPr>
          <w:p>
            <w:r/>
            <w:r>
              <w:rPr>
                <w:sz w:val="19"/>
              </w:rPr>
              <w:t>Cancelacion con IDI a la baja</w:t>
            </w:r>
          </w:p>
        </w:tc>
        <w:tc>
          <w:tcPr>
            <w:tcW w:type="dxa" w:w="5904"/>
          </w:tcPr>
          <w:p>
            <w:r/>
            <w:r>
              <w:rPr>
                <w:sz w:val="19"/>
              </w:rPr>
              <w:t>Se aplica el piso: se usa el IDI de otorgamiento.</w:t>
            </w:r>
          </w:p>
        </w:tc>
      </w:tr>
      <w:tr>
        <w:tc>
          <w:tcPr>
            <w:tcW w:type="dxa" w:w="3456"/>
          </w:tcPr>
          <w:p>
            <w:r/>
            <w:r>
              <w:rPr>
                <w:sz w:val="19"/>
              </w:rPr>
              <w:t>IDI no publicado (fin de semana/feriado)</w:t>
            </w:r>
          </w:p>
        </w:tc>
        <w:tc>
          <w:tcPr>
            <w:tcW w:type="dxa" w:w="5904"/>
          </w:tcPr>
          <w:p>
            <w:r/>
            <w:r>
              <w:rPr>
                <w:sz w:val="19"/>
              </w:rPr>
              <w:t>Se usa el ultimo IDI habil; futuro se extrapola.</w:t>
            </w:r>
          </w:p>
        </w:tc>
      </w:tr>
      <w:tr>
        <w:tc>
          <w:tcPr>
            <w:tcW w:type="dxa" w:w="3456"/>
          </w:tcPr>
          <w:p>
            <w:r/>
            <w:r>
              <w:rPr>
                <w:sz w:val="19"/>
              </w:rPr>
              <w:t>Vencimiento en dia no habil</w:t>
            </w:r>
          </w:p>
        </w:tc>
        <w:tc>
          <w:tcPr>
            <w:tcW w:type="dxa" w:w="5904"/>
          </w:tcPr>
          <w:p>
            <w:r/>
            <w:r>
              <w:rPr>
                <w:sz w:val="19"/>
              </w:rPr>
              <w:t>Se mueve al siguiente dia habil (parametro adjustToBusinessDay).</w:t>
            </w:r>
          </w:p>
        </w:tc>
      </w:tr>
      <w:tr>
        <w:tc>
          <w:tcPr>
            <w:tcW w:type="dxa" w:w="3456"/>
          </w:tcPr>
          <w:p>
            <w:r/>
            <w:r>
              <w:rPr>
                <w:sz w:val="19"/>
              </w:rPr>
              <w:t>Credito no expresado en UVC</w:t>
            </w:r>
          </w:p>
        </w:tc>
        <w:tc>
          <w:tcPr>
            <w:tcW w:type="dxa" w:w="5904"/>
          </w:tcPr>
          <w:p>
            <w:r/>
            <w:r>
              <w:rPr>
                <w:sz w:val="19"/>
              </w:rPr>
              <w:t>No se aplica IDI; mora hasta 3%.</w:t>
            </w:r>
          </w:p>
        </w:tc>
      </w:tr>
      <w:tr>
        <w:tc>
          <w:tcPr>
            <w:tcW w:type="dxa" w:w="3456"/>
          </w:tcPr>
          <w:p>
            <w:r/>
            <w:r>
              <w:rPr>
                <w:sz w:val="19"/>
              </w:rPr>
              <w:t>Tasa o mora fuera de tope</w:t>
            </w:r>
          </w:p>
        </w:tc>
        <w:tc>
          <w:tcPr>
            <w:tcW w:type="dxa" w:w="5904"/>
          </w:tcPr>
          <w:p>
            <w:r/>
            <w:r>
              <w:rPr>
                <w:sz w:val="19"/>
              </w:rPr>
              <w:t>Alerta (modo referencia) o bloqueo (modo estricto).</w:t>
            </w:r>
          </w:p>
        </w:tc>
      </w:tr>
    </w:tbl>
    <w:p>
      <w:pPr>
        <w:spacing w:after="40"/>
      </w:pPr>
    </w:p>
    <w:p>
      <w:pPr>
        <w:pStyle w:val="Heading1"/>
      </w:pPr>
      <w:r>
        <w:rPr>
          <w:color w:val="1F3A5F"/>
        </w:rPr>
        <w:t>18. Dias habiles, feriados y TIR</w:t>
      </w:r>
    </w:p>
    <w:p>
      <w:pPr>
        <w:spacing w:after="160"/>
      </w:pPr>
      <w:r>
        <w:rPr>
          <w:b/>
          <w:i/>
          <w:color w:val="9A5200"/>
          <w:sz w:val="18"/>
        </w:rPr>
        <w:t xml:space="preserve">▶ Elaboracion propia (no consta en la documentacion; creado por el asistente): </w:t>
      </w:r>
      <w:r>
        <w:rPr>
          <w:i/>
          <w:color w:val="606060"/>
          <w:sz w:val="18"/>
        </w:rPr>
        <w:t>Ajuste a dia habil, lista de feriados y calculo de TIR: criterio e implementacion del sistema.</w:t>
      </w:r>
    </w:p>
    <w:p>
      <w:pPr>
        <w:pStyle w:val="ListBullet"/>
      </w:pPr>
      <w:r>
        <w:t>Ajuste a dia habil: si el vencimiento cae en fin de semana o feriado, pasa al siguiente dia habil.</w:t>
      </w:r>
    </w:p>
    <w:p>
      <w:pPr>
        <w:pStyle w:val="ListBullet"/>
      </w:pPr>
      <w:r>
        <w:t>TIR: se calcula por biseccion sobre los flujos; la TIR anual = (1 + TIR_mensual)^12 - 1.</w:t>
      </w:r>
    </w:p>
    <w:p>
      <w:pPr>
        <w:pStyle w:val="Heading1"/>
      </w:pPr>
      <w:r>
        <w:rPr>
          <w:color w:val="1F3A5F"/>
        </w:rPr>
        <w:t>19. Ejemplo numerico de referencia (tabla Nayrobis)</w:t>
      </w:r>
    </w:p>
    <w:p>
      <w:pPr>
        <w:spacing w:after="160"/>
      </w:pPr>
      <w:r>
        <w:rPr>
          <w:b/>
          <w:i/>
          <w:color w:val="1B5E20"/>
          <w:sz w:val="18"/>
        </w:rPr>
        <w:t xml:space="preserve">▶ Fuente documental: </w:t>
      </w:r>
      <w:r>
        <w:rPr>
          <w:i/>
          <w:color w:val="606060"/>
          <w:sz w:val="18"/>
        </w:rPr>
        <w:t>Modelo Excel 'Tabla amortizacion nayrobis bolivar'.</w:t>
      </w:r>
    </w:p>
    <w:tbl>
      <w:tblPr>
        <w:tblStyle w:val="LightGrid-Accent1"/>
        <w:tblW w:type="auto" w:w="0"/>
        <w:jc w:val="center"/>
        <w:tblLook w:firstColumn="1" w:firstRow="1" w:lastColumn="0" w:lastRow="0" w:noHBand="0" w:noVBand="1" w:val="04A0"/>
      </w:tblPr>
      <w:tblGrid>
        <w:gridCol w:w="4320"/>
        <w:gridCol w:w="4320"/>
      </w:tblGrid>
      <w:tr>
        <w:tc>
          <w:tcPr>
            <w:tcW w:type="dxa" w:w="3744"/>
            <w:shd w:val="clear" w:fill="1F3A5F"/>
          </w:tcPr>
          <w:p>
            <w:r/>
            <w:r>
              <w:rPr>
                <w:b/>
                <w:color w:val="FFFFFF"/>
                <w:sz w:val="20"/>
              </w:rPr>
              <w:t>Dato</w:t>
            </w:r>
          </w:p>
        </w:tc>
        <w:tc>
          <w:tcPr>
            <w:tcW w:type="dxa" w:w="5616"/>
            <w:shd w:val="clear" w:fill="1F3A5F"/>
          </w:tcPr>
          <w:p>
            <w:r/>
            <w:r>
              <w:rPr>
                <w:b/>
                <w:color w:val="FFFFFF"/>
                <w:sz w:val="20"/>
              </w:rPr>
              <w:t>Valor</w:t>
            </w:r>
          </w:p>
        </w:tc>
      </w:tr>
      <w:tr>
        <w:tc>
          <w:tcPr>
            <w:tcW w:type="dxa" w:w="3744"/>
          </w:tcPr>
          <w:p>
            <w:r/>
            <w:r>
              <w:rPr>
                <w:sz w:val="19"/>
              </w:rPr>
              <w:t>Capital</w:t>
            </w:r>
          </w:p>
        </w:tc>
        <w:tc>
          <w:tcPr>
            <w:tcW w:type="dxa" w:w="5616"/>
          </w:tcPr>
          <w:p>
            <w:r/>
            <w:r>
              <w:rPr>
                <w:sz w:val="19"/>
              </w:rPr>
              <w:t>160.000,00 Bs</w:t>
            </w:r>
          </w:p>
        </w:tc>
      </w:tr>
      <w:tr>
        <w:tc>
          <w:tcPr>
            <w:tcW w:type="dxa" w:w="3744"/>
          </w:tcPr>
          <w:p>
            <w:r/>
            <w:r>
              <w:rPr>
                <w:sz w:val="19"/>
              </w:rPr>
              <w:t>Fecha de desembolso</w:t>
            </w:r>
          </w:p>
        </w:tc>
        <w:tc>
          <w:tcPr>
            <w:tcW w:type="dxa" w:w="5616"/>
          </w:tcPr>
          <w:p>
            <w:r/>
            <w:r>
              <w:rPr>
                <w:sz w:val="19"/>
              </w:rPr>
              <w:t>16/10/2025</w:t>
            </w:r>
          </w:p>
        </w:tc>
      </w:tr>
      <w:tr>
        <w:tc>
          <w:tcPr>
            <w:tcW w:type="dxa" w:w="3744"/>
          </w:tcPr>
          <w:p>
            <w:r/>
            <w:r>
              <w:rPr>
                <w:sz w:val="19"/>
              </w:rPr>
              <w:t>IDI de desembolso</w:t>
            </w:r>
          </w:p>
        </w:tc>
        <w:tc>
          <w:tcPr>
            <w:tcW w:type="dxa" w:w="5616"/>
          </w:tcPr>
          <w:p>
            <w:r/>
            <w:r>
              <w:rPr>
                <w:sz w:val="19"/>
              </w:rPr>
              <w:t>0,98495915</w:t>
            </w:r>
          </w:p>
        </w:tc>
      </w:tr>
      <w:tr>
        <w:tc>
          <w:tcPr>
            <w:tcW w:type="dxa" w:w="3744"/>
          </w:tcPr>
          <w:p>
            <w:r/>
            <w:r>
              <w:rPr>
                <w:sz w:val="19"/>
              </w:rPr>
              <w:t>Capital en UVC</w:t>
            </w:r>
          </w:p>
        </w:tc>
        <w:tc>
          <w:tcPr>
            <w:tcW w:type="dxa" w:w="5616"/>
          </w:tcPr>
          <w:p>
            <w:r/>
            <w:r>
              <w:rPr>
                <w:sz w:val="19"/>
              </w:rPr>
              <w:t>160.000 / 0,98495915 = 162.443,29 UVC</w:t>
            </w:r>
          </w:p>
        </w:tc>
      </w:tr>
      <w:tr>
        <w:tc>
          <w:tcPr>
            <w:tcW w:type="dxa" w:w="3744"/>
          </w:tcPr>
          <w:p>
            <w:r/>
            <w:r>
              <w:rPr>
                <w:sz w:val="19"/>
              </w:rPr>
              <w:t>Tasa de interes anual</w:t>
            </w:r>
          </w:p>
        </w:tc>
        <w:tc>
          <w:tcPr>
            <w:tcW w:type="dxa" w:w="5616"/>
          </w:tcPr>
          <w:p>
            <w:r/>
            <w:r>
              <w:rPr>
                <w:sz w:val="19"/>
              </w:rPr>
              <w:t>16% (modo referencia)</w:t>
            </w:r>
          </w:p>
        </w:tc>
      </w:tr>
      <w:tr>
        <w:tc>
          <w:tcPr>
            <w:tcW w:type="dxa" w:w="3744"/>
          </w:tcPr>
          <w:p>
            <w:r/>
            <w:r>
              <w:rPr>
                <w:sz w:val="19"/>
              </w:rPr>
              <w:t>Tasa de mora</w:t>
            </w:r>
          </w:p>
        </w:tc>
        <w:tc>
          <w:tcPr>
            <w:tcW w:type="dxa" w:w="5616"/>
          </w:tcPr>
          <w:p>
            <w:r/>
            <w:r>
              <w:rPr>
                <w:sz w:val="19"/>
              </w:rPr>
              <w:t>3% (modo referencia)</w:t>
            </w:r>
          </w:p>
        </w:tc>
      </w:tr>
      <w:tr>
        <w:tc>
          <w:tcPr>
            <w:tcW w:type="dxa" w:w="3744"/>
          </w:tcPr>
          <w:p>
            <w:r/>
            <w:r>
              <w:rPr>
                <w:sz w:val="19"/>
              </w:rPr>
              <w:t>Interes base diario</w:t>
            </w:r>
          </w:p>
        </w:tc>
        <w:tc>
          <w:tcPr>
            <w:tcW w:type="dxa" w:w="5616"/>
          </w:tcPr>
          <w:p>
            <w:r/>
            <w:r>
              <w:rPr>
                <w:sz w:val="19"/>
              </w:rPr>
              <w:t>160.000 x 16% / 360 = 71,11 Bs/dia</w:t>
            </w:r>
          </w:p>
        </w:tc>
      </w:tr>
      <w:tr>
        <w:tc>
          <w:tcPr>
            <w:tcW w:type="dxa" w:w="3744"/>
          </w:tcPr>
          <w:p>
            <w:r/>
            <w:r>
              <w:rPr>
                <w:sz w:val="19"/>
              </w:rPr>
              <w:t>IDI al 14/11/2025</w:t>
            </w:r>
          </w:p>
        </w:tc>
        <w:tc>
          <w:tcPr>
            <w:tcW w:type="dxa" w:w="5616"/>
          </w:tcPr>
          <w:p>
            <w:r/>
            <w:r>
              <w:rPr>
                <w:sz w:val="19"/>
              </w:rPr>
              <w:t>1,14827445</w:t>
            </w:r>
          </w:p>
        </w:tc>
      </w:tr>
    </w:tbl>
    <w:p>
      <w:pPr>
        <w:spacing w:after="40"/>
      </w:pPr>
    </w:p>
    <w:p>
      <w:r>
        <w:t>El motor del sistema reproduce estos valores, confirmando la consistencia con el modelo oficial.</w:t>
      </w:r>
    </w:p>
    <w:p>
      <w:pPr>
        <w:pStyle w:val="Heading1"/>
      </w:pPr>
      <w:r>
        <w:rPr>
          <w:color w:val="1F3A5F"/>
        </w:rPr>
        <w:t>20. Parametros configurables</w:t>
      </w:r>
    </w:p>
    <w:p>
      <w:pPr>
        <w:spacing w:after="160"/>
      </w:pPr>
      <w:r>
        <w:rPr>
          <w:b/>
          <w:i/>
          <w:color w:val="1F3A5F"/>
          <w:sz w:val="18"/>
        </w:rPr>
        <w:t xml:space="preserve">▶ Base en el codigo del proyecto: </w:t>
      </w:r>
      <w:r>
        <w:rPr>
          <w:i/>
          <w:color w:val="606060"/>
          <w:sz w:val="18"/>
        </w:rPr>
        <w:t>src/lib/loanStorage.js (initialParams) y simulator.js.</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shd w:val="clear" w:fill="1F3A5F"/>
          </w:tcPr>
          <w:p>
            <w:r/>
            <w:r>
              <w:rPr>
                <w:b/>
                <w:color w:val="FFFFFF"/>
                <w:sz w:val="20"/>
              </w:rPr>
              <w:t>Parametro</w:t>
            </w:r>
          </w:p>
        </w:tc>
        <w:tc>
          <w:tcPr>
            <w:tcW w:type="dxa" w:w="4176"/>
            <w:shd w:val="clear" w:fill="1F3A5F"/>
          </w:tcPr>
          <w:p>
            <w:r/>
            <w:r>
              <w:rPr>
                <w:b/>
                <w:color w:val="FFFFFF"/>
                <w:sz w:val="20"/>
              </w:rPr>
              <w:t>Descripcion</w:t>
            </w:r>
          </w:p>
        </w:tc>
        <w:tc>
          <w:tcPr>
            <w:tcW w:type="dxa" w:w="2448"/>
            <w:shd w:val="clear" w:fill="1F3A5F"/>
          </w:tcPr>
          <w:p>
            <w:r/>
            <w:r>
              <w:rPr>
                <w:b/>
                <w:color w:val="FFFFFF"/>
                <w:sz w:val="20"/>
              </w:rPr>
              <w:t>Por defecto</w:t>
            </w:r>
          </w:p>
        </w:tc>
      </w:tr>
      <w:tr>
        <w:tc>
          <w:tcPr>
            <w:tcW w:type="dxa" w:w="2736"/>
          </w:tcPr>
          <w:p>
            <w:r/>
            <w:r>
              <w:rPr>
                <w:sz w:val="19"/>
              </w:rPr>
              <w:t>principal</w:t>
            </w:r>
          </w:p>
        </w:tc>
        <w:tc>
          <w:tcPr>
            <w:tcW w:type="dxa" w:w="4176"/>
          </w:tcPr>
          <w:p>
            <w:r/>
            <w:r>
              <w:rPr>
                <w:sz w:val="19"/>
              </w:rPr>
              <w:t>Capital en Bs</w:t>
            </w:r>
          </w:p>
        </w:tc>
        <w:tc>
          <w:tcPr>
            <w:tcW w:type="dxa" w:w="2448"/>
          </w:tcPr>
          <w:p>
            <w:r/>
            <w:r>
              <w:rPr>
                <w:sz w:val="19"/>
              </w:rPr>
              <w:t>160.000</w:t>
            </w:r>
          </w:p>
        </w:tc>
      </w:tr>
      <w:tr>
        <w:tc>
          <w:tcPr>
            <w:tcW w:type="dxa" w:w="2736"/>
          </w:tcPr>
          <w:p>
            <w:r/>
            <w:r>
              <w:rPr>
                <w:sz w:val="19"/>
              </w:rPr>
              <w:t>annualRate</w:t>
            </w:r>
          </w:p>
        </w:tc>
        <w:tc>
          <w:tcPr>
            <w:tcW w:type="dxa" w:w="4176"/>
          </w:tcPr>
          <w:p>
            <w:r/>
            <w:r>
              <w:rPr>
                <w:sz w:val="19"/>
              </w:rPr>
              <w:t>Tasa anual %</w:t>
            </w:r>
          </w:p>
        </w:tc>
        <w:tc>
          <w:tcPr>
            <w:tcW w:type="dxa" w:w="2448"/>
          </w:tcPr>
          <w:p>
            <w:r/>
            <w:r>
              <w:rPr>
                <w:sz w:val="19"/>
              </w:rPr>
              <w:t>16 (referencia)</w:t>
            </w:r>
          </w:p>
        </w:tc>
      </w:tr>
      <w:tr>
        <w:tc>
          <w:tcPr>
            <w:tcW w:type="dxa" w:w="2736"/>
          </w:tcPr>
          <w:p>
            <w:r/>
            <w:r>
              <w:rPr>
                <w:sz w:val="19"/>
              </w:rPr>
              <w:t>termMonths</w:t>
            </w:r>
          </w:p>
        </w:tc>
        <w:tc>
          <w:tcPr>
            <w:tcW w:type="dxa" w:w="4176"/>
          </w:tcPr>
          <w:p>
            <w:r/>
            <w:r>
              <w:rPr>
                <w:sz w:val="19"/>
              </w:rPr>
              <w:t>Plazo en meses</w:t>
            </w:r>
          </w:p>
        </w:tc>
        <w:tc>
          <w:tcPr>
            <w:tcW w:type="dxa" w:w="2448"/>
          </w:tcPr>
          <w:p>
            <w:r/>
            <w:r>
              <w:rPr>
                <w:sz w:val="19"/>
              </w:rPr>
              <w:t>12</w:t>
            </w:r>
          </w:p>
        </w:tc>
      </w:tr>
      <w:tr>
        <w:tc>
          <w:tcPr>
            <w:tcW w:type="dxa" w:w="2736"/>
          </w:tcPr>
          <w:p>
            <w:r/>
            <w:r>
              <w:rPr>
                <w:sz w:val="19"/>
              </w:rPr>
              <w:t>moraRate</w:t>
            </w:r>
          </w:p>
        </w:tc>
        <w:tc>
          <w:tcPr>
            <w:tcW w:type="dxa" w:w="4176"/>
          </w:tcPr>
          <w:p>
            <w:r/>
            <w:r>
              <w:rPr>
                <w:sz w:val="19"/>
              </w:rPr>
              <w:t>Tasa de mora anual %</w:t>
            </w:r>
          </w:p>
        </w:tc>
        <w:tc>
          <w:tcPr>
            <w:tcW w:type="dxa" w:w="2448"/>
          </w:tcPr>
          <w:p>
            <w:r/>
            <w:r>
              <w:rPr>
                <w:sz w:val="19"/>
              </w:rPr>
              <w:t>3 (referencia)</w:t>
            </w:r>
          </w:p>
        </w:tc>
      </w:tr>
      <w:tr>
        <w:tc>
          <w:tcPr>
            <w:tcW w:type="dxa" w:w="2736"/>
          </w:tcPr>
          <w:p>
            <w:r/>
            <w:r>
              <w:rPr>
                <w:sz w:val="19"/>
              </w:rPr>
              <w:t>disbursementFeeRate</w:t>
            </w:r>
          </w:p>
        </w:tc>
        <w:tc>
          <w:tcPr>
            <w:tcW w:type="dxa" w:w="4176"/>
          </w:tcPr>
          <w:p>
            <w:r/>
            <w:r>
              <w:rPr>
                <w:sz w:val="19"/>
              </w:rPr>
              <w:t>Comision flat %</w:t>
            </w:r>
          </w:p>
        </w:tc>
        <w:tc>
          <w:tcPr>
            <w:tcW w:type="dxa" w:w="2448"/>
          </w:tcPr>
          <w:p>
            <w:r/>
            <w:r>
              <w:rPr>
                <w:sz w:val="19"/>
              </w:rPr>
              <w:t>0,50</w:t>
            </w:r>
          </w:p>
        </w:tc>
      </w:tr>
      <w:tr>
        <w:tc>
          <w:tcPr>
            <w:tcW w:type="dxa" w:w="2736"/>
          </w:tcPr>
          <w:p>
            <w:r/>
            <w:r>
              <w:rPr>
                <w:sz w:val="19"/>
              </w:rPr>
              <w:t>dayCount</w:t>
            </w:r>
          </w:p>
        </w:tc>
        <w:tc>
          <w:tcPr>
            <w:tcW w:type="dxa" w:w="4176"/>
          </w:tcPr>
          <w:p>
            <w:r/>
            <w:r>
              <w:rPr>
                <w:sz w:val="19"/>
              </w:rPr>
              <w:t>Base de dias</w:t>
            </w:r>
          </w:p>
        </w:tc>
        <w:tc>
          <w:tcPr>
            <w:tcW w:type="dxa" w:w="2448"/>
          </w:tcPr>
          <w:p>
            <w:r/>
            <w:r>
              <w:rPr>
                <w:sz w:val="19"/>
              </w:rPr>
              <w:t>30/360</w:t>
            </w:r>
          </w:p>
        </w:tc>
      </w:tr>
      <w:tr>
        <w:tc>
          <w:tcPr>
            <w:tcW w:type="dxa" w:w="2736"/>
          </w:tcPr>
          <w:p>
            <w:r/>
            <w:r>
              <w:rPr>
                <w:sz w:val="19"/>
              </w:rPr>
              <w:t>interestValuation</w:t>
            </w:r>
          </w:p>
        </w:tc>
        <w:tc>
          <w:tcPr>
            <w:tcW w:type="dxa" w:w="4176"/>
          </w:tcPr>
          <w:p>
            <w:r/>
            <w:r>
              <w:rPr>
                <w:sz w:val="19"/>
              </w:rPr>
              <w:t>IDI diario o al vencimiento</w:t>
            </w:r>
          </w:p>
        </w:tc>
        <w:tc>
          <w:tcPr>
            <w:tcW w:type="dxa" w:w="2448"/>
          </w:tcPr>
          <w:p>
            <w:r/>
            <w:r>
              <w:rPr>
                <w:sz w:val="19"/>
              </w:rPr>
              <w:t>IDI diario</w:t>
            </w:r>
          </w:p>
        </w:tc>
      </w:tr>
      <w:tr>
        <w:tc>
          <w:tcPr>
            <w:tcW w:type="dxa" w:w="2736"/>
          </w:tcPr>
          <w:p>
            <w:r/>
            <w:r>
              <w:rPr>
                <w:sz w:val="19"/>
              </w:rPr>
              <w:t>idiFloorOnPrepay</w:t>
            </w:r>
          </w:p>
        </w:tc>
        <w:tc>
          <w:tcPr>
            <w:tcW w:type="dxa" w:w="4176"/>
          </w:tcPr>
          <w:p>
            <w:r/>
            <w:r>
              <w:rPr>
                <w:sz w:val="19"/>
              </w:rPr>
              <w:t>Piso de IDI</w:t>
            </w:r>
          </w:p>
        </w:tc>
        <w:tc>
          <w:tcPr>
            <w:tcW w:type="dxa" w:w="2448"/>
          </w:tcPr>
          <w:p>
            <w:r/>
            <w:r>
              <w:rPr>
                <w:sz w:val="19"/>
              </w:rPr>
              <w:t>Activo</w:t>
            </w:r>
          </w:p>
        </w:tc>
      </w:tr>
      <w:tr>
        <w:tc>
          <w:tcPr>
            <w:tcW w:type="dxa" w:w="2736"/>
          </w:tcPr>
          <w:p>
            <w:r/>
            <w:r>
              <w:rPr>
                <w:sz w:val="19"/>
              </w:rPr>
              <w:t>allowHistoricalRates</w:t>
            </w:r>
          </w:p>
        </w:tc>
        <w:tc>
          <w:tcPr>
            <w:tcW w:type="dxa" w:w="4176"/>
          </w:tcPr>
          <w:p>
            <w:r/>
            <w:r>
              <w:rPr>
                <w:sz w:val="19"/>
              </w:rPr>
              <w:t>Modo referencia</w:t>
            </w:r>
          </w:p>
        </w:tc>
        <w:tc>
          <w:tcPr>
            <w:tcW w:type="dxa" w:w="2448"/>
          </w:tcPr>
          <w:p>
            <w:r/>
            <w:r>
              <w:rPr>
                <w:sz w:val="19"/>
              </w:rPr>
              <w:t>Activo</w:t>
            </w:r>
          </w:p>
        </w:tc>
      </w:tr>
      <w:tr>
        <w:tc>
          <w:tcPr>
            <w:tcW w:type="dxa" w:w="2736"/>
          </w:tcPr>
          <w:p>
            <w:r/>
            <w:r>
              <w:rPr>
                <w:sz w:val="19"/>
              </w:rPr>
              <w:t>mora1/mora2/mora3</w:t>
            </w:r>
          </w:p>
        </w:tc>
        <w:tc>
          <w:tcPr>
            <w:tcW w:type="dxa" w:w="4176"/>
          </w:tcPr>
          <w:p>
            <w:r/>
            <w:r>
              <w:rPr>
                <w:sz w:val="19"/>
              </w:rPr>
              <w:t>Umbrales de clasificacion</w:t>
            </w:r>
          </w:p>
        </w:tc>
        <w:tc>
          <w:tcPr>
            <w:tcW w:type="dxa" w:w="2448"/>
          </w:tcPr>
          <w:p>
            <w:r/>
            <w:r>
              <w:rPr>
                <w:sz w:val="19"/>
              </w:rPr>
              <w:t>30/60/90</w:t>
            </w:r>
          </w:p>
        </w:tc>
      </w:tr>
    </w:tbl>
    <w:p>
      <w:pPr>
        <w:spacing w:after="40"/>
      </w:pPr>
    </w:p>
    <w:p>
      <w:pPr>
        <w:pStyle w:val="Heading1"/>
      </w:pPr>
      <w:r>
        <w:rPr>
          <w:color w:val="1F3A5F"/>
        </w:rPr>
        <w:t>21. Glosario</w:t>
      </w:r>
    </w:p>
    <w:p>
      <w:pPr>
        <w:spacing w:after="160"/>
      </w:pPr>
      <w:r>
        <w:rPr>
          <w:b/>
          <w:i/>
          <w:color w:val="9A5200"/>
          <w:sz w:val="18"/>
        </w:rPr>
        <w:t xml:space="preserve">▶ Elaboracion propia (no consta en la documentacion; creado por el asistente): </w:t>
      </w:r>
      <w:r>
        <w:rPr>
          <w:i/>
          <w:color w:val="606060"/>
          <w:sz w:val="18"/>
        </w:rPr>
        <w:t>Definiciones redactadas por el asistente.</w:t>
      </w:r>
    </w:p>
    <w:tbl>
      <w:tblPr>
        <w:tblStyle w:val="LightGrid-Accent1"/>
        <w:tblW w:type="auto" w:w="0"/>
        <w:jc w:val="center"/>
        <w:tblLook w:firstColumn="1" w:firstRow="1" w:lastColumn="0" w:lastRow="0" w:noHBand="0" w:noVBand="1" w:val="04A0"/>
      </w:tblPr>
      <w:tblGrid>
        <w:gridCol w:w="4320"/>
        <w:gridCol w:w="4320"/>
      </w:tblGrid>
      <w:tr>
        <w:tc>
          <w:tcPr>
            <w:tcW w:type="dxa" w:w="2592"/>
            <w:shd w:val="clear" w:fill="1F3A5F"/>
          </w:tcPr>
          <w:p>
            <w:r/>
            <w:r>
              <w:rPr>
                <w:b/>
                <w:color w:val="FFFFFF"/>
                <w:sz w:val="20"/>
              </w:rPr>
              <w:t>Termino</w:t>
            </w:r>
          </w:p>
        </w:tc>
        <w:tc>
          <w:tcPr>
            <w:tcW w:type="dxa" w:w="6768"/>
            <w:shd w:val="clear" w:fill="1F3A5F"/>
          </w:tcPr>
          <w:p>
            <w:r/>
            <w:r>
              <w:rPr>
                <w:b/>
                <w:color w:val="FFFFFF"/>
                <w:sz w:val="20"/>
              </w:rPr>
              <w:t>Definicion</w:t>
            </w:r>
          </w:p>
        </w:tc>
      </w:tr>
      <w:tr>
        <w:tc>
          <w:tcPr>
            <w:tcW w:type="dxa" w:w="2592"/>
          </w:tcPr>
          <w:p>
            <w:r/>
            <w:r>
              <w:rPr>
                <w:sz w:val="19"/>
              </w:rPr>
              <w:t>UVC</w:t>
            </w:r>
          </w:p>
        </w:tc>
        <w:tc>
          <w:tcPr>
            <w:tcW w:type="dxa" w:w="6768"/>
          </w:tcPr>
          <w:p>
            <w:r/>
            <w:r>
              <w:rPr>
                <w:sz w:val="19"/>
              </w:rPr>
              <w:t>Unidad de Valor de Credito. Unidad de cuenta del credito (en 2019 se denomino 'Comercial', UVCC).</w:t>
            </w:r>
          </w:p>
        </w:tc>
      </w:tr>
      <w:tr>
        <w:tc>
          <w:tcPr>
            <w:tcW w:type="dxa" w:w="2592"/>
          </w:tcPr>
          <w:p>
            <w:r/>
            <w:r>
              <w:rPr>
                <w:sz w:val="19"/>
              </w:rPr>
              <w:t>IDI</w:t>
            </w:r>
          </w:p>
        </w:tc>
        <w:tc>
          <w:tcPr>
            <w:tcW w:type="dxa" w:w="6768"/>
          </w:tcPr>
          <w:p>
            <w:r/>
            <w:r>
              <w:rPr>
                <w:sz w:val="19"/>
              </w:rPr>
              <w:t>Indice de Inversion. Valor en Bs de una UVC, publicado por el BCV.</w:t>
            </w:r>
          </w:p>
        </w:tc>
      </w:tr>
      <w:tr>
        <w:tc>
          <w:tcPr>
            <w:tcW w:type="dxa" w:w="2592"/>
          </w:tcPr>
          <w:p>
            <w:r/>
            <w:r>
              <w:rPr>
                <w:sz w:val="19"/>
              </w:rPr>
              <w:t>Componente base</w:t>
            </w:r>
          </w:p>
        </w:tc>
        <w:tc>
          <w:tcPr>
            <w:tcW w:type="dxa" w:w="6768"/>
          </w:tcPr>
          <w:p>
            <w:r/>
            <w:r>
              <w:rPr>
                <w:sz w:val="19"/>
              </w:rPr>
              <w:t>Valor de un monto UVC al IDI de desembolso.</w:t>
            </w:r>
          </w:p>
        </w:tc>
      </w:tr>
      <w:tr>
        <w:tc>
          <w:tcPr>
            <w:tcW w:type="dxa" w:w="2592"/>
          </w:tcPr>
          <w:p>
            <w:r/>
            <w:r>
              <w:rPr>
                <w:sz w:val="19"/>
              </w:rPr>
              <w:t>Componente de actualizacion</w:t>
            </w:r>
          </w:p>
        </w:tc>
        <w:tc>
          <w:tcPr>
            <w:tcW w:type="dxa" w:w="6768"/>
          </w:tcPr>
          <w:p>
            <w:r/>
            <w:r>
              <w:rPr>
                <w:sz w:val="19"/>
              </w:rPr>
              <w:t>Diferencia por la variacion del IDI.</w:t>
            </w:r>
          </w:p>
        </w:tc>
      </w:tr>
      <w:tr>
        <w:tc>
          <w:tcPr>
            <w:tcW w:type="dxa" w:w="2592"/>
          </w:tcPr>
          <w:p>
            <w:r/>
            <w:r>
              <w:rPr>
                <w:sz w:val="19"/>
              </w:rPr>
              <w:t>Mora</w:t>
            </w:r>
          </w:p>
        </w:tc>
        <w:tc>
          <w:tcPr>
            <w:tcW w:type="dxa" w:w="6768"/>
          </w:tcPr>
          <w:p>
            <w:r/>
            <w:r>
              <w:rPr>
                <w:sz w:val="19"/>
              </w:rPr>
              <w:t>Interes punitorio por atraso, solo sobre capital vencido.</w:t>
            </w:r>
          </w:p>
        </w:tc>
      </w:tr>
      <w:tr>
        <w:tc>
          <w:tcPr>
            <w:tcW w:type="dxa" w:w="2592"/>
          </w:tcPr>
          <w:p>
            <w:r/>
            <w:r>
              <w:rPr>
                <w:sz w:val="19"/>
              </w:rPr>
              <w:t>Cuenta de orden</w:t>
            </w:r>
          </w:p>
        </w:tc>
        <w:tc>
          <w:tcPr>
            <w:tcW w:type="dxa" w:w="6768"/>
          </w:tcPr>
          <w:p>
            <w:r/>
            <w:r>
              <w:rPr>
                <w:sz w:val="19"/>
              </w:rPr>
              <w:t>Registro fuera de balance para creditos vencidos/congelados.</w:t>
            </w:r>
          </w:p>
        </w:tc>
      </w:tr>
      <w:tr>
        <w:tc>
          <w:tcPr>
            <w:tcW w:type="dxa" w:w="2592"/>
          </w:tcPr>
          <w:p>
            <w:r/>
            <w:r>
              <w:rPr>
                <w:sz w:val="19"/>
              </w:rPr>
              <w:t>TIR</w:t>
            </w:r>
          </w:p>
        </w:tc>
        <w:tc>
          <w:tcPr>
            <w:tcW w:type="dxa" w:w="6768"/>
          </w:tcPr>
          <w:p>
            <w:r/>
            <w:r>
              <w:rPr>
                <w:sz w:val="19"/>
              </w:rPr>
              <w:t>Tasa interna de retorno del flujo del credito.</w:t>
            </w:r>
          </w:p>
        </w:tc>
      </w:tr>
    </w:tbl>
    <w:p>
      <w:pPr>
        <w:spacing w:after="40"/>
      </w:pPr>
    </w:p>
    <w:p/>
    <w:p>
      <w:r>
        <w:rPr>
          <w:i/>
          <w:color w:val="606060"/>
          <w:sz w:val="18"/>
        </w:rPr>
        <w:t>Nota final: verificar siempre la vigencia de las resoluciones del BCV y SUDEBAN antes de usar en produccion. Las secciones marcadas como 'Elaboracion propia' no tienen respaldo en la documentacion entregada.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