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Manual de Funcionamiento de los Créditos</w:t>
      </w:r>
    </w:p>
    <w:p>
      <w:pPr>
        <w:jc w:val="center"/>
      </w:pPr>
      <w:r>
        <w:rPr>
          <w:color w:val="2E5A88"/>
          <w:sz w:val="26"/>
        </w:rPr>
        <w:t>Créditos comerciales expresados en Unidad de Valor de Crédito (UVC)</w:t>
      </w:r>
    </w:p>
    <w:p>
      <w:pPr>
        <w:jc w:val="center"/>
      </w:pPr>
      <w:r>
        <w:rPr>
          <w:color w:val="555555"/>
          <w:sz w:val="22"/>
        </w:rPr>
        <w:t>Fórmulas de cálculo  ·  Desglose de la cuota  ·  Mora  ·  Clasificación de cartera</w:t>
        <w:br/>
        <w:t>Asientos contables  ·  Cancelación anticipada  ·  Situaciones operativas</w:t>
      </w:r>
    </w:p>
    <w:p/>
    <w:p>
      <w:pPr>
        <w:jc w:val="center"/>
      </w:pPr>
      <w:r>
        <w:rPr>
          <w:color w:val="555555"/>
          <w:sz w:val="20"/>
        </w:rPr>
        <w:t>Documentación técnica y funcional del Simulador de Crédito</w:t>
        <w:br/>
        <w:t>Versión 1.0</w:t>
      </w:r>
    </w:p>
    <w:p/>
    <w:tbl>
      <w:tblPr>
        <w:tblW w:type="auto" w:w="0"/>
        <w:jc w:val="center"/>
        <w:tblLook w:firstColumn="1" w:firstRow="1" w:lastColumn="0" w:lastRow="0" w:noHBand="0" w:noVBand="1" w:val="04A0"/>
      </w:tblPr>
      <w:tblGrid>
        <w:gridCol w:w="9360"/>
      </w:tblGrid>
      <w:tr>
        <w:tc>
          <w:tcPr>
            <w:tcW w:type="dxa" w:w="9360"/>
            <w:shd w:val="clear" w:fill="EAF6EC"/>
          </w:tcPr>
          <w:p>
            <w:r>
              <w:rPr>
                <w:b/>
                <w:color w:val="1B5E20"/>
                <w:sz w:val="20"/>
              </w:rPr>
              <w:t xml:space="preserve">¿Para quién es este documento?  </w:t>
            </w:r>
            <w:r>
              <w:rPr>
                <w:sz w:val="20"/>
              </w:rPr>
              <w:t>Para negocio, contabilidad, auditoría y desarrollo. Explica de la forma más simple posible cómo debe funcionar un crédito de principio a fin: desde el desembolso hasta el último pago, pasando por la mora, la clasificación de riesgo y los asientos contables. Cada número del simulador puede rastrearse hasta su fórmula y su fundamento.</w:t>
            </w:r>
          </w:p>
        </w:tc>
      </w:tr>
    </w:tbl>
    <w:p>
      <w:pPr>
        <w:spacing w:after="40"/>
      </w:pPr>
    </w:p>
    <w:p>
      <w:pPr>
        <w:pStyle w:val="Heading2"/>
      </w:pPr>
      <w:r>
        <w:rPr>
          <w:color w:val="2E5A88"/>
        </w:rPr>
        <w:t>Cómo leer este documento</w:t>
      </w:r>
    </w:p>
    <w:p>
      <w:r>
        <w:t>Todas las fórmulas se muestran en bloques de color morado y con tipografía monoespaciada. Los términos clave (UVC, IDI, mora, etc.) se definen en el Glosario al final. Donde es útil, se incluye un ejemplo numérico resaltado en una caja de color.</w:t>
      </w:r>
    </w:p>
    <w:p>
      <w:r>
        <w:t>Las cifras de los ejemplos toman como base el caso por defecto del simulador (la tabla de amortización de referencia): capital 160.000 Bs, IDI de desembolso 0,98495915, plazo 12 meses, tasa 16 % anual y mora 3 % anual.</w:t>
      </w:r>
    </w:p>
    <w:p>
      <w:r>
        <w:br w:type="page"/>
      </w:r>
    </w:p>
    <w:p>
      <w:pPr>
        <w:pStyle w:val="Heading1"/>
      </w:pPr>
      <w:r>
        <w:rPr>
          <w:color w:val="1F3A5F"/>
        </w:rPr>
        <w:t>Contenido</w:t>
      </w:r>
    </w:p>
    <w:p>
      <w:pPr>
        <w:spacing w:after="40"/>
      </w:pPr>
      <w:r>
        <w:t>1. Qué es un crédito UVC (en palabras simples)</w:t>
      </w:r>
    </w:p>
    <w:p>
      <w:pPr>
        <w:spacing w:after="40"/>
      </w:pPr>
      <w:r>
        <w:t>2. Marco regulatorio de referencia</w:t>
      </w:r>
    </w:p>
    <w:p>
      <w:pPr>
        <w:spacing w:after="40"/>
      </w:pPr>
      <w:r>
        <w:t>3. Unidad de Valor de Crédito (UVC) e Índice de Inversión (IDI)</w:t>
      </w:r>
    </w:p>
    <w:p>
      <w:pPr>
        <w:spacing w:after="40"/>
      </w:pPr>
      <w:r>
        <w:t>4. El Índice de Inversión día a día: cómo se resuelve cada fecha</w:t>
      </w:r>
    </w:p>
    <w:p>
      <w:pPr>
        <w:spacing w:after="40"/>
      </w:pPr>
      <w:r>
        <w:t>5. Parámetros que definen un crédito</w:t>
      </w:r>
    </w:p>
    <w:p>
      <w:pPr>
        <w:spacing w:after="40"/>
      </w:pPr>
      <w:r>
        <w:t>6. Sistema de amortización francés (cuota fija en UVC)</w:t>
      </w:r>
    </w:p>
    <w:p>
      <w:pPr>
        <w:spacing w:after="40"/>
      </w:pPr>
      <w:r>
        <w:t>7. Base de días (30/360 y actual/365)</w:t>
      </w:r>
    </w:p>
    <w:p>
      <w:pPr>
        <w:spacing w:after="40"/>
      </w:pPr>
      <w:r>
        <w:t>8. Valoración de intereses: IDI al vencimiento vs. IDI diario</w:t>
      </w:r>
    </w:p>
    <w:p>
      <w:pPr>
        <w:spacing w:after="40"/>
      </w:pPr>
      <w:r>
        <w:t>9. Desglose de la cuota en bolívares (base, variación y valorización UVC)</w:t>
      </w:r>
    </w:p>
    <w:p>
      <w:pPr>
        <w:spacing w:after="40"/>
      </w:pPr>
      <w:r>
        <w:t>10. Saldo del crédito</w:t>
      </w:r>
    </w:p>
    <w:p>
      <w:pPr>
        <w:spacing w:after="40"/>
      </w:pPr>
      <w:r>
        <w:t>11. Mora: cuándo, cuánto y sobre qué se cobra</w:t>
      </w:r>
    </w:p>
    <w:p>
      <w:pPr>
        <w:spacing w:after="40"/>
      </w:pPr>
      <w:r>
        <w:t>12. Orden de imputación de los pagos</w:t>
      </w:r>
    </w:p>
    <w:p>
      <w:pPr>
        <w:spacing w:after="40"/>
      </w:pPr>
      <w:r>
        <w:t>13. Clasificación de la cartera de créditos</w:t>
      </w:r>
    </w:p>
    <w:p>
      <w:pPr>
        <w:spacing w:after="40"/>
      </w:pPr>
      <w:r>
        <w:t>14. Cartera activa (143) y cuentas de orden (819)</w:t>
      </w:r>
    </w:p>
    <w:p>
      <w:pPr>
        <w:spacing w:after="40"/>
      </w:pPr>
      <w:r>
        <w:t>15. Congelamiento del crédito vencido</w:t>
      </w:r>
    </w:p>
    <w:p>
      <w:pPr>
        <w:spacing w:after="40"/>
      </w:pPr>
      <w:r>
        <w:t>16. Cancelación anticipada y prepagos</w:t>
      </w:r>
    </w:p>
    <w:p>
      <w:pPr>
        <w:spacing w:after="40"/>
      </w:pPr>
      <w:r>
        <w:t>17. Asientos contables (paso a paso)</w:t>
      </w:r>
    </w:p>
    <w:p>
      <w:pPr>
        <w:spacing w:after="40"/>
      </w:pPr>
      <w:r>
        <w:t>18. Plan de cuentas SUDEBAN utilizado</w:t>
      </w:r>
    </w:p>
    <w:p>
      <w:pPr>
        <w:spacing w:after="40"/>
      </w:pPr>
      <w:r>
        <w:t>19. Ajuste a días hábiles y feriados</w:t>
      </w:r>
    </w:p>
    <w:p>
      <w:pPr>
        <w:spacing w:after="40"/>
      </w:pPr>
      <w:r>
        <w:t>20. Comisión flat y cumplimiento regulatorio</w:t>
      </w:r>
    </w:p>
    <w:p>
      <w:pPr>
        <w:spacing w:after="40"/>
      </w:pPr>
      <w:r>
        <w:t>21. Tasa Interna de Retorno (TIR)</w:t>
      </w:r>
    </w:p>
    <w:p>
      <w:pPr>
        <w:spacing w:after="40"/>
      </w:pPr>
      <w:r>
        <w:t>22. Modo libre vs. modo simulación</w:t>
      </w:r>
    </w:p>
    <w:p>
      <w:pPr>
        <w:spacing w:after="40"/>
      </w:pPr>
      <w:r>
        <w:t>23. Catálogo de situaciones y escenarios</w:t>
      </w:r>
    </w:p>
    <w:p>
      <w:pPr>
        <w:spacing w:after="40"/>
      </w:pPr>
      <w:r>
        <w:t>24. Resumen de todas las fórmulas (hoja de referencia)</w:t>
      </w:r>
    </w:p>
    <w:p>
      <w:pPr>
        <w:spacing w:after="40"/>
      </w:pPr>
      <w:r>
        <w:t>25. Glosario</w:t>
      </w:r>
    </w:p>
    <w:p>
      <w:r>
        <w:br w:type="page"/>
      </w:r>
    </w:p>
    <w:p>
      <w:pPr>
        <w:pStyle w:val="Heading1"/>
      </w:pPr>
      <w:r>
        <w:rPr>
          <w:color w:val="1F3A5F"/>
        </w:rPr>
        <w:t>1. Qué es un crédito UVC (en palabras simples)</w:t>
      </w:r>
    </w:p>
    <w:p>
      <w:r>
        <w:t>Un crédito UVC es un préstamo en bolívares cuyo valor se «guarda» en una unidad estable llamada Unidad de Valor de Crédito (UVC), para que la inflación no licúe el capital prestado. Funciona en tres pasos:</w:t>
      </w:r>
    </w:p>
    <w:p>
      <w:pPr>
        <w:pStyle w:val="ListNumber"/>
      </w:pPr>
      <w:r>
        <w:t>Al desembolsar, el monto en bolívares se convierte a UVC usando el Índice de Inversión (IDI) del día. Esa cantidad de UVC es la deuda «real».</w:t>
      </w:r>
    </w:p>
    <w:p>
      <w:pPr>
        <w:pStyle w:val="ListNumber"/>
      </w:pPr>
      <w:r>
        <w:t>Durante la vida del crédito, la deuda se lleva en UVC: los intereses, la amortización y el saldo se calculan en UVC con una cuota fija (sistema francés).</w:t>
      </w:r>
    </w:p>
    <w:p>
      <w:pPr>
        <w:pStyle w:val="ListNumber"/>
      </w:pPr>
      <w:r>
        <w:t>Cada vez que hay que cobrar o contabilizar, las UVC se vuelven a expresar en bolívares multiplicando por el IDI de esa fecha. Como el IDI sube con la inflación, el banco recupera el poder adquisitivo y el cliente paga el valor real.</w:t>
      </w:r>
    </w:p>
    <w:tbl>
      <w:tblPr>
        <w:tblW w:type="auto" w:w="0"/>
        <w:jc w:val="center"/>
        <w:tblLook w:firstColumn="1" w:firstRow="1" w:lastColumn="0" w:lastRow="0" w:noHBand="0" w:noVBand="1" w:val="04A0"/>
      </w:tblPr>
      <w:tblGrid>
        <w:gridCol w:w="9360"/>
      </w:tblGrid>
      <w:tr>
        <w:tc>
          <w:tcPr>
            <w:tcW w:type="dxa" w:w="9360"/>
            <w:shd w:val="clear" w:fill="EAF1F8"/>
          </w:tcPr>
          <w:p>
            <w:r>
              <w:rPr>
                <w:b/>
                <w:color w:val="1F3A5F"/>
                <w:sz w:val="20"/>
              </w:rPr>
              <w:t xml:space="preserve">En una frase:  </w:t>
            </w:r>
            <w:r>
              <w:rPr>
                <w:sz w:val="20"/>
              </w:rPr>
              <w:t>el crédito «vive» en UVC (valor estable) y solo se «traduce» a bolívares en el momento de pagar o contabilizar, usando el IDI de cada fecha.</w:t>
            </w:r>
          </w:p>
        </w:tc>
      </w:tr>
    </w:tbl>
    <w:p>
      <w:pPr>
        <w:spacing w:after="40"/>
      </w:pPr>
    </w:p>
    <w:p>
      <w:r>
        <w:t>Si el crédito NO es UVC (parámetro creditUvc desactivado), todo el cálculo se hace directamente en bolívares: el IDI se trata como 1 y desaparecen los componentes de actualización. El resto del modelo (cuota francesa, mora, clasificación, asientos) es igual.</w:t>
      </w:r>
    </w:p>
    <w:p>
      <w:pPr>
        <w:pStyle w:val="Heading1"/>
      </w:pPr>
      <w:r>
        <w:rPr>
          <w:color w:val="1F3A5F"/>
        </w:rPr>
        <w:t>2. Marco regulatorio de referencia</w:t>
      </w:r>
    </w:p>
    <w:p>
      <w:r>
        <w:t>El modelo implementa la normativa venezolana sobre créditos comerciales en UVC. Los instrumentos principales son:</w:t>
      </w:r>
    </w:p>
    <w:tbl>
      <w:tblPr>
        <w:tblStyle w:val="LightGrid-Accent1"/>
        <w:tblW w:type="auto" w:w="0"/>
        <w:jc w:val="center"/>
        <w:tblLook w:firstColumn="1" w:firstRow="1" w:lastColumn="0" w:lastRow="0" w:noHBand="0" w:noVBand="1" w:val="04A0"/>
      </w:tblPr>
      <w:tblGrid>
        <w:gridCol w:w="3120"/>
        <w:gridCol w:w="3120"/>
        <w:gridCol w:w="3120"/>
      </w:tblGrid>
      <w:tr>
        <w:tc>
          <w:tcPr>
            <w:tcW w:type="dxa" w:w="3456"/>
            <w:shd w:val="clear" w:fill="1F3A5F"/>
          </w:tcPr>
          <w:p>
            <w:r/>
            <w:r>
              <w:rPr>
                <w:b/>
                <w:color w:val="FFFFFF"/>
                <w:sz w:val="19"/>
              </w:rPr>
              <w:t>Instrumento</w:t>
            </w:r>
          </w:p>
        </w:tc>
        <w:tc>
          <w:tcPr>
            <w:tcW w:type="dxa" w:w="2304"/>
            <w:shd w:val="clear" w:fill="1F3A5F"/>
          </w:tcPr>
          <w:p>
            <w:r/>
            <w:r>
              <w:rPr>
                <w:b/>
                <w:color w:val="FFFFFF"/>
                <w:sz w:val="19"/>
              </w:rPr>
              <w:t>Fecha / Gaceta</w:t>
            </w:r>
          </w:p>
        </w:tc>
        <w:tc>
          <w:tcPr>
            <w:tcW w:type="dxa" w:w="3888"/>
            <w:shd w:val="clear" w:fill="1F3A5F"/>
          </w:tcPr>
          <w:p>
            <w:r/>
            <w:r>
              <w:rPr>
                <w:b/>
                <w:color w:val="FFFFFF"/>
                <w:sz w:val="19"/>
              </w:rPr>
              <w:t>Qué aporta al modelo</w:t>
            </w:r>
          </w:p>
        </w:tc>
      </w:tr>
      <w:tr>
        <w:tc>
          <w:tcPr>
            <w:tcW w:type="dxa" w:w="3456"/>
          </w:tcPr>
          <w:p>
            <w:r/>
            <w:r>
              <w:rPr>
                <w:sz w:val="19"/>
              </w:rPr>
              <w:t>Resolución BCV N.° 19-09-01</w:t>
            </w:r>
          </w:p>
        </w:tc>
        <w:tc>
          <w:tcPr>
            <w:tcW w:type="dxa" w:w="2304"/>
          </w:tcPr>
          <w:p>
            <w:r/>
            <w:r>
              <w:rPr>
                <w:sz w:val="19"/>
              </w:rPr>
              <w:t>G.O. 41.742 - 21/10/2019</w:t>
            </w:r>
          </w:p>
        </w:tc>
        <w:tc>
          <w:tcPr>
            <w:tcW w:type="dxa" w:w="3888"/>
          </w:tcPr>
          <w:p>
            <w:r/>
            <w:r>
              <w:rPr>
                <w:sz w:val="19"/>
              </w:rPr>
              <w:t>Crea la obligación de expresar los créditos comerciales en UVC y dividir el monto en Bs entre el IDI del otorgamiento.</w:t>
            </w:r>
          </w:p>
        </w:tc>
      </w:tr>
      <w:tr>
        <w:tc>
          <w:tcPr>
            <w:tcW w:type="dxa" w:w="3456"/>
          </w:tcPr>
          <w:p>
            <w:r/>
            <w:r>
              <w:rPr>
                <w:sz w:val="19"/>
              </w:rPr>
              <w:t>Aviso Oficial BCV</w:t>
            </w:r>
          </w:p>
        </w:tc>
        <w:tc>
          <w:tcPr>
            <w:tcW w:type="dxa" w:w="2304"/>
          </w:tcPr>
          <w:p>
            <w:r/>
            <w:r>
              <w:rPr>
                <w:sz w:val="19"/>
              </w:rPr>
              <w:t>G.O. 41.742 - 21/10/2019</w:t>
            </w:r>
          </w:p>
        </w:tc>
        <w:tc>
          <w:tcPr>
            <w:tcW w:type="dxa" w:w="3888"/>
          </w:tcPr>
          <w:p>
            <w:r/>
            <w:r>
              <w:rPr>
                <w:sz w:val="19"/>
              </w:rPr>
              <w:t>Comisión flat máxima de 0,50 % del monto del crédito.</w:t>
            </w:r>
          </w:p>
        </w:tc>
      </w:tr>
      <w:tr>
        <w:tc>
          <w:tcPr>
            <w:tcW w:type="dxa" w:w="3456"/>
          </w:tcPr>
          <w:p>
            <w:r/>
            <w:r>
              <w:rPr>
                <w:sz w:val="19"/>
              </w:rPr>
              <w:t>Circular de entrada en vigencia (BCV)</w:t>
            </w:r>
          </w:p>
        </w:tc>
        <w:tc>
          <w:tcPr>
            <w:tcW w:type="dxa" w:w="2304"/>
          </w:tcPr>
          <w:p>
            <w:r/>
            <w:r>
              <w:rPr>
                <w:sz w:val="19"/>
              </w:rPr>
              <w:t>24/10/2019</w:t>
            </w:r>
          </w:p>
        </w:tc>
        <w:tc>
          <w:tcPr>
            <w:tcW w:type="dxa" w:w="3888"/>
          </w:tcPr>
          <w:p>
            <w:r/>
            <w:r>
              <w:rPr>
                <w:sz w:val="19"/>
              </w:rPr>
              <w:t>Aplica la Resolución 19-09-01 desde el 28/10/2019.</w:t>
            </w:r>
          </w:p>
        </w:tc>
      </w:tr>
      <w:tr>
        <w:tc>
          <w:tcPr>
            <w:tcW w:type="dxa" w:w="3456"/>
          </w:tcPr>
          <w:p>
            <w:r/>
            <w:r>
              <w:rPr>
                <w:sz w:val="19"/>
              </w:rPr>
              <w:t>Circular SUDEBAN SIB-DSB-CJ-OD-13083</w:t>
            </w:r>
          </w:p>
        </w:tc>
        <w:tc>
          <w:tcPr>
            <w:tcW w:type="dxa" w:w="2304"/>
          </w:tcPr>
          <w:p>
            <w:r/>
            <w:r>
              <w:rPr>
                <w:sz w:val="19"/>
              </w:rPr>
              <w:t>14/11/2019</w:t>
            </w:r>
          </w:p>
        </w:tc>
        <w:tc>
          <w:tcPr>
            <w:tcW w:type="dxa" w:w="3888"/>
          </w:tcPr>
          <w:p>
            <w:r/>
            <w:r>
              <w:rPr>
                <w:sz w:val="19"/>
              </w:rPr>
              <w:t>Cláusulas mínimas del contrato: amortización de capital en UVC, cancelación anticipada con piso de IDI, % de mora.</w:t>
            </w:r>
          </w:p>
        </w:tc>
      </w:tr>
      <w:tr>
        <w:tc>
          <w:tcPr>
            <w:tcW w:type="dxa" w:w="3456"/>
          </w:tcPr>
          <w:p>
            <w:r/>
            <w:r>
              <w:rPr>
                <w:sz w:val="19"/>
              </w:rPr>
              <w:t>Modif. Manual de Contabilidad (SIB-II-GGR-GNP-12161)</w:t>
            </w:r>
          </w:p>
        </w:tc>
        <w:tc>
          <w:tcPr>
            <w:tcW w:type="dxa" w:w="2304"/>
          </w:tcPr>
          <w:p>
            <w:r/>
            <w:r>
              <w:rPr>
                <w:sz w:val="19"/>
              </w:rPr>
              <w:t>28/10/2019</w:t>
            </w:r>
          </w:p>
        </w:tc>
        <w:tc>
          <w:tcPr>
            <w:tcW w:type="dxa" w:w="3888"/>
          </w:tcPr>
          <w:p>
            <w:r/>
            <w:r>
              <w:rPr>
                <w:sz w:val="19"/>
              </w:rPr>
              <w:t>Crea las subcuentas 131.35, 131.36, 358.01, 513.01.M.35 y 513.01.M.36.</w:t>
            </w:r>
          </w:p>
        </w:tc>
      </w:tr>
      <w:tr>
        <w:tc>
          <w:tcPr>
            <w:tcW w:type="dxa" w:w="3456"/>
          </w:tcPr>
          <w:p>
            <w:r/>
            <w:r>
              <w:rPr>
                <w:sz w:val="19"/>
              </w:rPr>
              <w:t>Minuta SUDEBAN / BCV / ABV</w:t>
            </w:r>
          </w:p>
        </w:tc>
        <w:tc>
          <w:tcPr>
            <w:tcW w:type="dxa" w:w="2304"/>
          </w:tcPr>
          <w:p>
            <w:r/>
            <w:r>
              <w:rPr>
                <w:sz w:val="19"/>
              </w:rPr>
              <w:t>17/12/2019</w:t>
            </w:r>
          </w:p>
        </w:tc>
        <w:tc>
          <w:tcPr>
            <w:tcW w:type="dxa" w:w="3888"/>
          </w:tcPr>
          <w:p>
            <w:r/>
            <w:r>
              <w:rPr>
                <w:sz w:val="19"/>
              </w:rPr>
              <w:t>Tratamiento del crédito vencido: congelamiento y registro en cuentas de orden / patrimonio (358.00).</w:t>
            </w:r>
          </w:p>
        </w:tc>
      </w:tr>
      <w:tr>
        <w:tc>
          <w:tcPr>
            <w:tcW w:type="dxa" w:w="3456"/>
          </w:tcPr>
          <w:p>
            <w:r/>
            <w:r>
              <w:rPr>
                <w:sz w:val="19"/>
              </w:rPr>
              <w:t>Resolución BCV N.° 21-01-02 (VIGENTE)</w:t>
            </w:r>
          </w:p>
        </w:tc>
        <w:tc>
          <w:tcPr>
            <w:tcW w:type="dxa" w:w="2304"/>
          </w:tcPr>
          <w:p>
            <w:r/>
            <w:r>
              <w:rPr>
                <w:sz w:val="19"/>
              </w:rPr>
              <w:t>G.O. 42.050 - 19/01/2021</w:t>
            </w:r>
          </w:p>
        </w:tc>
        <w:tc>
          <w:tcPr>
            <w:tcW w:type="dxa" w:w="3888"/>
          </w:tcPr>
          <w:p>
            <w:r/>
            <w:r>
              <w:rPr>
                <w:sz w:val="19"/>
              </w:rPr>
              <w:t>Norma actual: define UVC, IDI, tasas 4 %-10 % (2 % Cartera Productiva), mora máxima 0,80 %, piso de IDI en cancelación anticipada.</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fill="FCF3E7"/>
          </w:tcPr>
          <w:p>
            <w:r>
              <w:rPr>
                <w:b/>
                <w:color w:val="9A5200"/>
                <w:sz w:val="20"/>
              </w:rPr>
              <w:t xml:space="preserve">Nota de vigencia:  </w:t>
            </w:r>
            <w:r>
              <w:rPr>
                <w:sz w:val="20"/>
              </w:rPr>
              <w:t>las resoluciones se actualizan con frecuencia. Antes de usar en producción, verifique las versiones vigentes en bcv.org.ve y sudeban.gob.ve.</w:t>
            </w:r>
          </w:p>
        </w:tc>
      </w:tr>
    </w:tbl>
    <w:p>
      <w:pPr>
        <w:spacing w:after="40"/>
      </w:pPr>
    </w:p>
    <w:p>
      <w:pPr>
        <w:pStyle w:val="Heading1"/>
      </w:pPr>
      <w:r>
        <w:rPr>
          <w:color w:val="1F3A5F"/>
        </w:rPr>
        <w:t>3. Unidad de Valor de Crédito (UVC) e Índice de Inversión (IDI)</w:t>
      </w:r>
    </w:p>
    <w:p>
      <w:r>
        <w:t>La UVC es una unidad de cuenta creada por el BCV para preservar el valor real del crédito. El IDI (Índice de Inversión) es un factor que el BCV publica diariamente y que indica cuántos bolívares vale una UVC en una fecha determinada. Refleja la variación del tipo de cambio de referencia de mercado.</w:t>
      </w:r>
    </w:p>
    <w:p>
      <w:pPr>
        <w:pStyle w:val="Heading2"/>
      </w:pPr>
      <w:r>
        <w:rPr>
          <w:color w:val="2E5A88"/>
        </w:rPr>
        <w:t>3.1 Conversión del capital al desembolsar</w:t>
      </w:r>
    </w:p>
    <w:p>
      <w:r>
        <w:t>El monto entregado en bolívares se convierte a UVC con el IDI del día del desembolso. Ese IDI de otorgamiento queda fijo para toda la vida del crédito (es la referencia «base»).</w:t>
      </w:r>
    </w:p>
    <w:p>
      <w:pPr>
        <w:spacing w:before="40" w:after="160"/>
        <w:ind w:left="432"/>
      </w:pPr>
      <w:r>
        <w:rPr>
          <w:rFonts w:ascii="Consolas" w:hAnsi="Consolas"/>
          <w:color w:val="4A148C"/>
          <w:sz w:val="20"/>
        </w:rPr>
        <w:t>Capital_UVC = Capital_Bs / IDI_desembolso</w:t>
      </w:r>
    </w:p>
    <w:tbl>
      <w:tblPr>
        <w:tblW w:type="auto" w:w="0"/>
        <w:jc w:val="center"/>
        <w:tblLook w:firstColumn="1" w:firstRow="1" w:lastColumn="0" w:lastRow="0" w:noHBand="0" w:noVBand="1" w:val="04A0"/>
      </w:tblPr>
      <w:tblGrid>
        <w:gridCol w:w="9360"/>
      </w:tblGrid>
      <w:tr>
        <w:tc>
          <w:tcPr>
            <w:tcW w:type="dxa" w:w="9360"/>
            <w:shd w:val="clear" w:fill="EAF1F8"/>
          </w:tcPr>
          <w:p>
            <w:r>
              <w:rPr>
                <w:b/>
                <w:color w:val="1F3A5F"/>
                <w:sz w:val="20"/>
              </w:rPr>
              <w:t xml:space="preserve">Ejemplo:  </w:t>
            </w:r>
            <w:r>
              <w:rPr>
                <w:sz w:val="20"/>
              </w:rPr>
              <w:t>160.000 Bs / 0,98495915 = 162.443,29 UVC.  Esa es la deuda real del cliente.</w:t>
            </w:r>
          </w:p>
        </w:tc>
      </w:tr>
    </w:tbl>
    <w:p>
      <w:pPr>
        <w:spacing w:after="40"/>
      </w:pPr>
    </w:p>
    <w:p>
      <w:pPr>
        <w:pStyle w:val="Heading2"/>
      </w:pPr>
      <w:r>
        <w:rPr>
          <w:color w:val="2E5A88"/>
        </w:rPr>
        <w:t>3.2 Conversión de UVC a bolívares en cualquier fecha</w:t>
      </w:r>
    </w:p>
    <w:p>
      <w:pPr>
        <w:spacing w:before="40" w:after="160"/>
        <w:ind w:left="432"/>
      </w:pPr>
      <w:r>
        <w:rPr>
          <w:rFonts w:ascii="Consolas" w:hAnsi="Consolas"/>
          <w:color w:val="4A148C"/>
          <w:sz w:val="20"/>
        </w:rPr>
        <w:t>Monto_Bs = Monto_UVC x IDI_fecha</w:t>
      </w:r>
    </w:p>
    <w:p>
      <w:r>
        <w:t>Esta es la regla que se usa para expresar en bolívares la cuota, los intereses, la amortización y el saldo en cualquier momento.</w:t>
      </w:r>
    </w:p>
    <w:p>
      <w:pPr>
        <w:pStyle w:val="Heading1"/>
      </w:pPr>
      <w:r>
        <w:rPr>
          <w:color w:val="1F3A5F"/>
        </w:rPr>
        <w:t>4. El Índice de Inversión día a día: cómo se resuelve cada fecha</w:t>
      </w:r>
    </w:p>
    <w:p>
      <w:r>
        <w:t>El BCV no publica IDI todos los días (no hay fines de semana ni feriados). El sistema (función createIdiResolver) resuelve el IDI de cualquier fecha así:</w:t>
      </w:r>
    </w:p>
    <w:tbl>
      <w:tblPr>
        <w:tblStyle w:val="LightGrid-Accent1"/>
        <w:tblW w:type="auto" w:w="0"/>
        <w:jc w:val="center"/>
        <w:tblLook w:firstColumn="1" w:firstRow="1" w:lastColumn="0" w:lastRow="0" w:noHBand="0" w:noVBand="1" w:val="04A0"/>
      </w:tblPr>
      <w:tblGrid>
        <w:gridCol w:w="4680"/>
        <w:gridCol w:w="4680"/>
      </w:tblGrid>
      <w:tr>
        <w:tc>
          <w:tcPr>
            <w:tcW w:type="dxa" w:w="4464"/>
            <w:shd w:val="clear" w:fill="1F3A5F"/>
          </w:tcPr>
          <w:p>
            <w:r/>
            <w:r>
              <w:rPr>
                <w:b/>
                <w:color w:val="FFFFFF"/>
                <w:sz w:val="19"/>
              </w:rPr>
              <w:t>Situación de la fecha</w:t>
            </w:r>
          </w:p>
        </w:tc>
        <w:tc>
          <w:tcPr>
            <w:tcW w:type="dxa" w:w="5184"/>
            <w:shd w:val="clear" w:fill="1F3A5F"/>
          </w:tcPr>
          <w:p>
            <w:r/>
            <w:r>
              <w:rPr>
                <w:b/>
                <w:color w:val="FFFFFF"/>
                <w:sz w:val="19"/>
              </w:rPr>
              <w:t>Qué IDI se usa</w:t>
            </w:r>
          </w:p>
        </w:tc>
      </w:tr>
      <w:tr>
        <w:tc>
          <w:tcPr>
            <w:tcW w:type="dxa" w:w="4464"/>
          </w:tcPr>
          <w:p>
            <w:r/>
            <w:r>
              <w:rPr>
                <w:sz w:val="19"/>
              </w:rPr>
              <w:t>Hay dato publicado para esa fecha</w:t>
            </w:r>
          </w:p>
        </w:tc>
        <w:tc>
          <w:tcPr>
            <w:tcW w:type="dxa" w:w="5184"/>
          </w:tcPr>
          <w:p>
            <w:r/>
            <w:r>
              <w:rPr>
                <w:sz w:val="19"/>
              </w:rPr>
              <w:t>Se usa el valor exacto del BCV.</w:t>
            </w:r>
          </w:p>
        </w:tc>
      </w:tr>
      <w:tr>
        <w:tc>
          <w:tcPr>
            <w:tcW w:type="dxa" w:w="4464"/>
          </w:tcPr>
          <w:p>
            <w:r/>
            <w:r>
              <w:rPr>
                <w:sz w:val="19"/>
              </w:rPr>
              <w:t>Fin de semana (sábado/domingo)</w:t>
            </w:r>
          </w:p>
        </w:tc>
        <w:tc>
          <w:tcPr>
            <w:tcW w:type="dxa" w:w="5184"/>
          </w:tcPr>
          <w:p>
            <w:r/>
            <w:r>
              <w:rPr>
                <w:sz w:val="19"/>
              </w:rPr>
              <w:t>Se usa el IDI del último día hábil previo (el IDI no cambia en fin de semana).</w:t>
            </w:r>
          </w:p>
        </w:tc>
      </w:tr>
      <w:tr>
        <w:tc>
          <w:tcPr>
            <w:tcW w:type="dxa" w:w="4464"/>
          </w:tcPr>
          <w:p>
            <w:r/>
            <w:r>
              <w:rPr>
                <w:sz w:val="19"/>
              </w:rPr>
              <w:t>Fecha pasada o de hoy sin dato exacto</w:t>
            </w:r>
          </w:p>
        </w:tc>
        <w:tc>
          <w:tcPr>
            <w:tcW w:type="dxa" w:w="5184"/>
          </w:tcPr>
          <w:p>
            <w:r/>
            <w:r>
              <w:rPr>
                <w:sz w:val="19"/>
              </w:rPr>
              <w:t>Se arrastra el último IDI conocido (o se interpola, según el parámetro idiMissing).</w:t>
            </w:r>
          </w:p>
        </w:tc>
      </w:tr>
      <w:tr>
        <w:tc>
          <w:tcPr>
            <w:tcW w:type="dxa" w:w="4464"/>
          </w:tcPr>
          <w:p>
            <w:r/>
            <w:r>
              <w:rPr>
                <w:sz w:val="19"/>
              </w:rPr>
              <w:t>Fecha futura (posterior a hoy)</w:t>
            </w:r>
          </w:p>
        </w:tc>
        <w:tc>
          <w:tcPr>
            <w:tcW w:type="dxa" w:w="5184"/>
          </w:tcPr>
          <w:p>
            <w:r/>
            <w:r>
              <w:rPr>
                <w:sz w:val="19"/>
              </w:rPr>
              <w:t>Se extrapola: último IDI + (paso diario idiFutureStep x días futuros).</w:t>
            </w:r>
          </w:p>
        </w:tc>
      </w:tr>
      <w:tr>
        <w:tc>
          <w:tcPr>
            <w:tcW w:type="dxa" w:w="4464"/>
          </w:tcPr>
          <w:p>
            <w:r/>
            <w:r>
              <w:rPr>
                <w:sz w:val="19"/>
              </w:rPr>
              <w:t>Antes del primer dato de la serie</w:t>
            </w:r>
          </w:p>
        </w:tc>
        <w:tc>
          <w:tcPr>
            <w:tcW w:type="dxa" w:w="5184"/>
          </w:tcPr>
          <w:p>
            <w:r/>
            <w:r>
              <w:rPr>
                <w:sz w:val="19"/>
              </w:rPr>
              <w:t>Se usa el primer IDI disponible.</w:t>
            </w:r>
          </w:p>
        </w:tc>
      </w:tr>
      <w:tr>
        <w:tc>
          <w:tcPr>
            <w:tcW w:type="dxa" w:w="4464"/>
          </w:tcPr>
          <w:p>
            <w:r/>
            <w:r>
              <w:rPr>
                <w:sz w:val="19"/>
              </w:rPr>
              <w:t>No hay serie cargada</w:t>
            </w:r>
          </w:p>
        </w:tc>
        <w:tc>
          <w:tcPr>
            <w:tcW w:type="dxa" w:w="5184"/>
          </w:tcPr>
          <w:p>
            <w:r/>
            <w:r>
              <w:rPr>
                <w:sz w:val="19"/>
              </w:rPr>
              <w:t>Se usa el IDI por defecto (parámetro idi).</w:t>
            </w:r>
          </w:p>
        </w:tc>
      </w:tr>
    </w:tbl>
    <w:p>
      <w:pPr>
        <w:spacing w:after="40"/>
      </w:pPr>
    </w:p>
    <w:p>
      <w:r>
        <w:t>Cada fila del calendario marca el origen del IDI («BCV» cuando deriva de un dato real hasta hoy, o «invented» cuando es una extrapolación futura), útil para auditoría.</w:t>
      </w:r>
    </w:p>
    <w:tbl>
      <w:tblPr>
        <w:tblW w:type="auto" w:w="0"/>
        <w:jc w:val="center"/>
        <w:tblLook w:firstColumn="1" w:firstRow="1" w:lastColumn="0" w:lastRow="0" w:noHBand="0" w:noVBand="1" w:val="04A0"/>
      </w:tblPr>
      <w:tblGrid>
        <w:gridCol w:w="9360"/>
      </w:tblGrid>
      <w:tr>
        <w:tc>
          <w:tcPr>
            <w:tcW w:type="dxa" w:w="9360"/>
            <w:shd w:val="clear" w:fill="EAF1F8"/>
          </w:tcPr>
          <w:p>
            <w:r>
              <w:rPr>
                <w:b/>
                <w:color w:val="1F3A5F"/>
                <w:sz w:val="20"/>
              </w:rPr>
              <w:t xml:space="preserve">Por qué importa:  </w:t>
            </w:r>
            <w:r>
              <w:rPr>
                <w:sz w:val="20"/>
              </w:rPr>
              <w:t>el IDI elegido para cada fecha afecta directamente los bolívares de intereses, amortización, mora y saldo. Por eso el origen del dato (real vs. estimado) se hace visible.</w:t>
            </w:r>
          </w:p>
        </w:tc>
      </w:tr>
    </w:tbl>
    <w:p>
      <w:pPr>
        <w:spacing w:after="40"/>
      </w:pPr>
    </w:p>
    <w:p>
      <w:pPr>
        <w:pStyle w:val="Heading1"/>
      </w:pPr>
      <w:r>
        <w:rPr>
          <w:color w:val="1F3A5F"/>
        </w:rPr>
        <w:t>5. Parámetros que definen un crédito</w:t>
      </w:r>
    </w:p>
    <w:p>
      <w:r>
        <w:t>Un crédito se configura con los siguientes parámetros (los valores por defecto reproducen la tabla de amortización de referencia):</w:t>
      </w:r>
    </w:p>
    <w:tbl>
      <w:tblPr>
        <w:tblStyle w:val="LightGrid-Accent1"/>
        <w:tblW w:type="auto" w:w="0"/>
        <w:jc w:val="center"/>
        <w:tblLook w:firstColumn="1" w:firstRow="1" w:lastColumn="0" w:lastRow="0" w:noHBand="0" w:noVBand="1" w:val="04A0"/>
      </w:tblPr>
      <w:tblGrid>
        <w:gridCol w:w="3120"/>
        <w:gridCol w:w="3120"/>
        <w:gridCol w:w="3120"/>
      </w:tblGrid>
      <w:tr>
        <w:tc>
          <w:tcPr>
            <w:tcW w:type="dxa" w:w="2736"/>
            <w:shd w:val="clear" w:fill="1F3A5F"/>
          </w:tcPr>
          <w:p>
            <w:r/>
            <w:r>
              <w:rPr>
                <w:b/>
                <w:color w:val="FFFFFF"/>
                <w:sz w:val="18"/>
              </w:rPr>
              <w:t>Parámetro</w:t>
            </w:r>
          </w:p>
        </w:tc>
        <w:tc>
          <w:tcPr>
            <w:tcW w:type="dxa" w:w="5040"/>
            <w:shd w:val="clear" w:fill="1F3A5F"/>
          </w:tcPr>
          <w:p>
            <w:r/>
            <w:r>
              <w:rPr>
                <w:b/>
                <w:color w:val="FFFFFF"/>
                <w:sz w:val="18"/>
              </w:rPr>
              <w:t>Qué significa</w:t>
            </w:r>
          </w:p>
        </w:tc>
        <w:tc>
          <w:tcPr>
            <w:tcW w:type="dxa" w:w="1872"/>
            <w:shd w:val="clear" w:fill="1F3A5F"/>
          </w:tcPr>
          <w:p>
            <w:r/>
            <w:r>
              <w:rPr>
                <w:b/>
                <w:color w:val="FFFFFF"/>
                <w:sz w:val="18"/>
              </w:rPr>
              <w:t>Valor por defecto</w:t>
            </w:r>
          </w:p>
        </w:tc>
      </w:tr>
      <w:tr>
        <w:tc>
          <w:tcPr>
            <w:tcW w:type="dxa" w:w="2736"/>
          </w:tcPr>
          <w:p>
            <w:r/>
            <w:r>
              <w:rPr>
                <w:sz w:val="18"/>
              </w:rPr>
              <w:t>principal</w:t>
            </w:r>
          </w:p>
        </w:tc>
        <w:tc>
          <w:tcPr>
            <w:tcW w:type="dxa" w:w="5040"/>
          </w:tcPr>
          <w:p>
            <w:r/>
            <w:r>
              <w:rPr>
                <w:sz w:val="18"/>
              </w:rPr>
              <w:t>Capital desembolsado en bolívares</w:t>
            </w:r>
          </w:p>
        </w:tc>
        <w:tc>
          <w:tcPr>
            <w:tcW w:type="dxa" w:w="1872"/>
          </w:tcPr>
          <w:p>
            <w:r/>
            <w:r>
              <w:rPr>
                <w:sz w:val="18"/>
              </w:rPr>
              <w:t>160.000</w:t>
            </w:r>
          </w:p>
        </w:tc>
      </w:tr>
      <w:tr>
        <w:tc>
          <w:tcPr>
            <w:tcW w:type="dxa" w:w="2736"/>
          </w:tcPr>
          <w:p>
            <w:r/>
            <w:r>
              <w:rPr>
                <w:sz w:val="18"/>
              </w:rPr>
              <w:t>annualRate</w:t>
            </w:r>
          </w:p>
        </w:tc>
        <w:tc>
          <w:tcPr>
            <w:tcW w:type="dxa" w:w="5040"/>
          </w:tcPr>
          <w:p>
            <w:r/>
            <w:r>
              <w:rPr>
                <w:sz w:val="18"/>
              </w:rPr>
              <w:t>Tasa de interés anual (%)</w:t>
            </w:r>
          </w:p>
        </w:tc>
        <w:tc>
          <w:tcPr>
            <w:tcW w:type="dxa" w:w="1872"/>
          </w:tcPr>
          <w:p>
            <w:r/>
            <w:r>
              <w:rPr>
                <w:sz w:val="18"/>
              </w:rPr>
              <w:t>16</w:t>
            </w:r>
          </w:p>
        </w:tc>
      </w:tr>
      <w:tr>
        <w:tc>
          <w:tcPr>
            <w:tcW w:type="dxa" w:w="2736"/>
          </w:tcPr>
          <w:p>
            <w:r/>
            <w:r>
              <w:rPr>
                <w:sz w:val="18"/>
              </w:rPr>
              <w:t>termMonths</w:t>
            </w:r>
          </w:p>
        </w:tc>
        <w:tc>
          <w:tcPr>
            <w:tcW w:type="dxa" w:w="5040"/>
          </w:tcPr>
          <w:p>
            <w:r/>
            <w:r>
              <w:rPr>
                <w:sz w:val="18"/>
              </w:rPr>
              <w:t>Plazo en meses (número de cuotas)</w:t>
            </w:r>
          </w:p>
        </w:tc>
        <w:tc>
          <w:tcPr>
            <w:tcW w:type="dxa" w:w="1872"/>
          </w:tcPr>
          <w:p>
            <w:r/>
            <w:r>
              <w:rPr>
                <w:sz w:val="18"/>
              </w:rPr>
              <w:t>12</w:t>
            </w:r>
          </w:p>
        </w:tc>
      </w:tr>
      <w:tr>
        <w:tc>
          <w:tcPr>
            <w:tcW w:type="dxa" w:w="2736"/>
          </w:tcPr>
          <w:p>
            <w:r/>
            <w:r>
              <w:rPr>
                <w:sz w:val="18"/>
              </w:rPr>
              <w:t>disbursementDate</w:t>
            </w:r>
          </w:p>
        </w:tc>
        <w:tc>
          <w:tcPr>
            <w:tcW w:type="dxa" w:w="5040"/>
          </w:tcPr>
          <w:p>
            <w:r/>
            <w:r>
              <w:rPr>
                <w:sz w:val="18"/>
              </w:rPr>
              <w:t>Fecha de desembolso</w:t>
            </w:r>
          </w:p>
        </w:tc>
        <w:tc>
          <w:tcPr>
            <w:tcW w:type="dxa" w:w="1872"/>
          </w:tcPr>
          <w:p>
            <w:r/>
            <w:r>
              <w:rPr>
                <w:sz w:val="18"/>
              </w:rPr>
              <w:t>2025-10-16</w:t>
            </w:r>
          </w:p>
        </w:tc>
      </w:tr>
      <w:tr>
        <w:tc>
          <w:tcPr>
            <w:tcW w:type="dxa" w:w="2736"/>
          </w:tcPr>
          <w:p>
            <w:r/>
            <w:r>
              <w:rPr>
                <w:sz w:val="18"/>
              </w:rPr>
              <w:t>firstDueDate</w:t>
            </w:r>
          </w:p>
        </w:tc>
        <w:tc>
          <w:tcPr>
            <w:tcW w:type="dxa" w:w="5040"/>
          </w:tcPr>
          <w:p>
            <w:r/>
            <w:r>
              <w:rPr>
                <w:sz w:val="18"/>
              </w:rPr>
              <w:t>Fecha de vencimiento de la 1.ª cuota</w:t>
            </w:r>
          </w:p>
        </w:tc>
        <w:tc>
          <w:tcPr>
            <w:tcW w:type="dxa" w:w="1872"/>
          </w:tcPr>
          <w:p>
            <w:r/>
            <w:r>
              <w:rPr>
                <w:sz w:val="18"/>
              </w:rPr>
              <w:t>2025-11-14</w:t>
            </w:r>
          </w:p>
        </w:tc>
      </w:tr>
      <w:tr>
        <w:tc>
          <w:tcPr>
            <w:tcW w:type="dxa" w:w="2736"/>
          </w:tcPr>
          <w:p>
            <w:r/>
            <w:r>
              <w:rPr>
                <w:sz w:val="18"/>
              </w:rPr>
              <w:t>idi</w:t>
            </w:r>
          </w:p>
        </w:tc>
        <w:tc>
          <w:tcPr>
            <w:tcW w:type="dxa" w:w="5040"/>
          </w:tcPr>
          <w:p>
            <w:r/>
            <w:r>
              <w:rPr>
                <w:sz w:val="18"/>
              </w:rPr>
              <w:t>IDI del día de desembolso (referencia base)</w:t>
            </w:r>
          </w:p>
        </w:tc>
        <w:tc>
          <w:tcPr>
            <w:tcW w:type="dxa" w:w="1872"/>
          </w:tcPr>
          <w:p>
            <w:r/>
            <w:r>
              <w:rPr>
                <w:sz w:val="18"/>
              </w:rPr>
              <w:t>0,98495915</w:t>
            </w:r>
          </w:p>
        </w:tc>
      </w:tr>
      <w:tr>
        <w:tc>
          <w:tcPr>
            <w:tcW w:type="dxa" w:w="2736"/>
          </w:tcPr>
          <w:p>
            <w:r/>
            <w:r>
              <w:rPr>
                <w:sz w:val="18"/>
              </w:rPr>
              <w:t>disbursementFeeRate</w:t>
            </w:r>
          </w:p>
        </w:tc>
        <w:tc>
          <w:tcPr>
            <w:tcW w:type="dxa" w:w="5040"/>
          </w:tcPr>
          <w:p>
            <w:r/>
            <w:r>
              <w:rPr>
                <w:sz w:val="18"/>
              </w:rPr>
              <w:t>Comisión flat de desembolso (%)</w:t>
            </w:r>
          </w:p>
        </w:tc>
        <w:tc>
          <w:tcPr>
            <w:tcW w:type="dxa" w:w="1872"/>
          </w:tcPr>
          <w:p>
            <w:r/>
            <w:r>
              <w:rPr>
                <w:sz w:val="18"/>
              </w:rPr>
              <w:t>0,50</w:t>
            </w:r>
          </w:p>
        </w:tc>
      </w:tr>
      <w:tr>
        <w:tc>
          <w:tcPr>
            <w:tcW w:type="dxa" w:w="2736"/>
          </w:tcPr>
          <w:p>
            <w:r/>
            <w:r>
              <w:rPr>
                <w:sz w:val="18"/>
              </w:rPr>
              <w:t>dayCount</w:t>
            </w:r>
          </w:p>
        </w:tc>
        <w:tc>
          <w:tcPr>
            <w:tcW w:type="dxa" w:w="5040"/>
          </w:tcPr>
          <w:p>
            <w:r/>
            <w:r>
              <w:rPr>
                <w:sz w:val="18"/>
              </w:rPr>
              <w:t>Convención de días: 30/360 o actual/365</w:t>
            </w:r>
          </w:p>
        </w:tc>
        <w:tc>
          <w:tcPr>
            <w:tcW w:type="dxa" w:w="1872"/>
          </w:tcPr>
          <w:p>
            <w:r/>
            <w:r>
              <w:rPr>
                <w:sz w:val="18"/>
              </w:rPr>
              <w:t>30/360</w:t>
            </w:r>
          </w:p>
        </w:tc>
      </w:tr>
      <w:tr>
        <w:tc>
          <w:tcPr>
            <w:tcW w:type="dxa" w:w="2736"/>
          </w:tcPr>
          <w:p>
            <w:r/>
            <w:r>
              <w:rPr>
                <w:sz w:val="18"/>
              </w:rPr>
              <w:t>interestValuation</w:t>
            </w:r>
          </w:p>
        </w:tc>
        <w:tc>
          <w:tcPr>
            <w:tcW w:type="dxa" w:w="5040"/>
          </w:tcPr>
          <w:p>
            <w:r/>
            <w:r>
              <w:rPr>
                <w:sz w:val="18"/>
              </w:rPr>
              <w:t>Valoración del interés: idi_due o idi_daily</w:t>
            </w:r>
          </w:p>
        </w:tc>
        <w:tc>
          <w:tcPr>
            <w:tcW w:type="dxa" w:w="1872"/>
          </w:tcPr>
          <w:p>
            <w:r/>
            <w:r>
              <w:rPr>
                <w:sz w:val="18"/>
              </w:rPr>
              <w:t>idi_daily</w:t>
            </w:r>
          </w:p>
        </w:tc>
      </w:tr>
      <w:tr>
        <w:tc>
          <w:tcPr>
            <w:tcW w:type="dxa" w:w="2736"/>
          </w:tcPr>
          <w:p>
            <w:r/>
            <w:r>
              <w:rPr>
                <w:sz w:val="18"/>
              </w:rPr>
              <w:t>idiMissing</w:t>
            </w:r>
          </w:p>
        </w:tc>
        <w:tc>
          <w:tcPr>
            <w:tcW w:type="dxa" w:w="5040"/>
          </w:tcPr>
          <w:p>
            <w:r/>
            <w:r>
              <w:rPr>
                <w:sz w:val="18"/>
              </w:rPr>
              <w:t>Relleno de IDI faltante: linear o carry</w:t>
            </w:r>
          </w:p>
        </w:tc>
        <w:tc>
          <w:tcPr>
            <w:tcW w:type="dxa" w:w="1872"/>
          </w:tcPr>
          <w:p>
            <w:r/>
            <w:r>
              <w:rPr>
                <w:sz w:val="18"/>
              </w:rPr>
              <w:t>linear</w:t>
            </w:r>
          </w:p>
        </w:tc>
      </w:tr>
      <w:tr>
        <w:tc>
          <w:tcPr>
            <w:tcW w:type="dxa" w:w="2736"/>
          </w:tcPr>
          <w:p>
            <w:r/>
            <w:r>
              <w:rPr>
                <w:sz w:val="18"/>
              </w:rPr>
              <w:t>idiFutureStep</w:t>
            </w:r>
          </w:p>
        </w:tc>
        <w:tc>
          <w:tcPr>
            <w:tcW w:type="dxa" w:w="5040"/>
          </w:tcPr>
          <w:p>
            <w:r/>
            <w:r>
              <w:rPr>
                <w:sz w:val="18"/>
              </w:rPr>
              <w:t>Incremento diario del IDI para fechas futuras</w:t>
            </w:r>
          </w:p>
        </w:tc>
        <w:tc>
          <w:tcPr>
            <w:tcW w:type="dxa" w:w="1872"/>
          </w:tcPr>
          <w:p>
            <w:r/>
            <w:r>
              <w:rPr>
                <w:sz w:val="18"/>
              </w:rPr>
              <w:t>0,01</w:t>
            </w:r>
          </w:p>
        </w:tc>
      </w:tr>
      <w:tr>
        <w:tc>
          <w:tcPr>
            <w:tcW w:type="dxa" w:w="2736"/>
          </w:tcPr>
          <w:p>
            <w:r/>
            <w:r>
              <w:rPr>
                <w:sz w:val="18"/>
              </w:rPr>
              <w:t>moraRate</w:t>
            </w:r>
          </w:p>
        </w:tc>
        <w:tc>
          <w:tcPr>
            <w:tcW w:type="dxa" w:w="5040"/>
          </w:tcPr>
          <w:p>
            <w:r/>
            <w:r>
              <w:rPr>
                <w:sz w:val="18"/>
              </w:rPr>
              <w:t>Tasa de mora anual (%)</w:t>
            </w:r>
          </w:p>
        </w:tc>
        <w:tc>
          <w:tcPr>
            <w:tcW w:type="dxa" w:w="1872"/>
          </w:tcPr>
          <w:p>
            <w:r/>
            <w:r>
              <w:rPr>
                <w:sz w:val="18"/>
              </w:rPr>
              <w:t>3</w:t>
            </w:r>
          </w:p>
        </w:tc>
      </w:tr>
      <w:tr>
        <w:tc>
          <w:tcPr>
            <w:tcW w:type="dxa" w:w="2736"/>
          </w:tcPr>
          <w:p>
            <w:r/>
            <w:r>
              <w:rPr>
                <w:sz w:val="18"/>
              </w:rPr>
              <w:t>graceDays</w:t>
            </w:r>
          </w:p>
        </w:tc>
        <w:tc>
          <w:tcPr>
            <w:tcW w:type="dxa" w:w="5040"/>
          </w:tcPr>
          <w:p>
            <w:r/>
            <w:r>
              <w:rPr>
                <w:sz w:val="18"/>
              </w:rPr>
              <w:t>Días de gracia antes de generar mora</w:t>
            </w:r>
          </w:p>
        </w:tc>
        <w:tc>
          <w:tcPr>
            <w:tcW w:type="dxa" w:w="1872"/>
          </w:tcPr>
          <w:p>
            <w:r/>
            <w:r>
              <w:rPr>
                <w:sz w:val="18"/>
              </w:rPr>
              <w:t>0</w:t>
            </w:r>
          </w:p>
        </w:tc>
      </w:tr>
      <w:tr>
        <w:tc>
          <w:tcPr>
            <w:tcW w:type="dxa" w:w="2736"/>
          </w:tcPr>
          <w:p>
            <w:r/>
            <w:r>
              <w:rPr>
                <w:sz w:val="18"/>
              </w:rPr>
              <w:t>moraBase</w:t>
            </w:r>
          </w:p>
        </w:tc>
        <w:tc>
          <w:tcPr>
            <w:tcW w:type="dxa" w:w="5040"/>
          </w:tcPr>
          <w:p>
            <w:r/>
            <w:r>
              <w:rPr>
                <w:sz w:val="18"/>
              </w:rPr>
              <w:t>Base de la mora: amort (cuota de capital) o saldo</w:t>
            </w:r>
          </w:p>
        </w:tc>
        <w:tc>
          <w:tcPr>
            <w:tcW w:type="dxa" w:w="1872"/>
          </w:tcPr>
          <w:p>
            <w:r/>
            <w:r>
              <w:rPr>
                <w:sz w:val="18"/>
              </w:rPr>
              <w:t>amort</w:t>
            </w:r>
          </w:p>
        </w:tc>
      </w:tr>
      <w:tr>
        <w:tc>
          <w:tcPr>
            <w:tcW w:type="dxa" w:w="2736"/>
          </w:tcPr>
          <w:p>
            <w:r/>
            <w:r>
              <w:rPr>
                <w:sz w:val="18"/>
              </w:rPr>
              <w:t>mora1 / mora2 / mora3</w:t>
            </w:r>
          </w:p>
        </w:tc>
        <w:tc>
          <w:tcPr>
            <w:tcW w:type="dxa" w:w="5040"/>
          </w:tcPr>
          <w:p>
            <w:r/>
            <w:r>
              <w:rPr>
                <w:sz w:val="18"/>
              </w:rPr>
              <w:t>Umbrales de clasificación (días)</w:t>
            </w:r>
          </w:p>
        </w:tc>
        <w:tc>
          <w:tcPr>
            <w:tcW w:type="dxa" w:w="1872"/>
          </w:tcPr>
          <w:p>
            <w:r/>
            <w:r>
              <w:rPr>
                <w:sz w:val="18"/>
              </w:rPr>
              <w:t>30 / 60 / 90</w:t>
            </w:r>
          </w:p>
        </w:tc>
      </w:tr>
      <w:tr>
        <w:tc>
          <w:tcPr>
            <w:tcW w:type="dxa" w:w="2736"/>
          </w:tcPr>
          <w:p>
            <w:r/>
            <w:r>
              <w:rPr>
                <w:sz w:val="18"/>
              </w:rPr>
              <w:t>creditUvc</w:t>
            </w:r>
          </w:p>
        </w:tc>
        <w:tc>
          <w:tcPr>
            <w:tcW w:type="dxa" w:w="5040"/>
          </w:tcPr>
          <w:p>
            <w:r/>
            <w:r>
              <w:rPr>
                <w:sz w:val="18"/>
              </w:rPr>
              <w:t>Activa la denominación en UVC</w:t>
            </w:r>
          </w:p>
        </w:tc>
        <w:tc>
          <w:tcPr>
            <w:tcW w:type="dxa" w:w="1872"/>
          </w:tcPr>
          <w:p>
            <w:r/>
            <w:r>
              <w:rPr>
                <w:sz w:val="18"/>
              </w:rPr>
              <w:t>true</w:t>
            </w:r>
          </w:p>
        </w:tc>
      </w:tr>
      <w:tr>
        <w:tc>
          <w:tcPr>
            <w:tcW w:type="dxa" w:w="2736"/>
          </w:tcPr>
          <w:p>
            <w:r/>
            <w:r>
              <w:rPr>
                <w:sz w:val="18"/>
              </w:rPr>
              <w:t>idiFloorOnPrepay</w:t>
            </w:r>
          </w:p>
        </w:tc>
        <w:tc>
          <w:tcPr>
            <w:tcW w:type="dxa" w:w="5040"/>
          </w:tcPr>
          <w:p>
            <w:r/>
            <w:r>
              <w:rPr>
                <w:sz w:val="18"/>
              </w:rPr>
              <w:t>Piso de IDI en cancelación anticipada</w:t>
            </w:r>
          </w:p>
        </w:tc>
        <w:tc>
          <w:tcPr>
            <w:tcW w:type="dxa" w:w="1872"/>
          </w:tcPr>
          <w:p>
            <w:r/>
            <w:r>
              <w:rPr>
                <w:sz w:val="18"/>
              </w:rPr>
              <w:t>true</w:t>
            </w:r>
          </w:p>
        </w:tc>
      </w:tr>
      <w:tr>
        <w:tc>
          <w:tcPr>
            <w:tcW w:type="dxa" w:w="2736"/>
          </w:tcPr>
          <w:p>
            <w:r/>
            <w:r>
              <w:rPr>
                <w:sz w:val="18"/>
              </w:rPr>
              <w:t>allowHistoricalRates</w:t>
            </w:r>
          </w:p>
        </w:tc>
        <w:tc>
          <w:tcPr>
            <w:tcW w:type="dxa" w:w="5040"/>
          </w:tcPr>
          <w:p>
            <w:r/>
            <w:r>
              <w:rPr>
                <w:sz w:val="18"/>
              </w:rPr>
              <w:t>Modo referencia: admite tasas históricas sin bloquear</w:t>
            </w:r>
          </w:p>
        </w:tc>
        <w:tc>
          <w:tcPr>
            <w:tcW w:type="dxa" w:w="1872"/>
          </w:tcPr>
          <w:p>
            <w:r/>
            <w:r>
              <w:rPr>
                <w:sz w:val="18"/>
              </w:rPr>
              <w:t>true</w:t>
            </w:r>
          </w:p>
        </w:tc>
      </w:tr>
      <w:tr>
        <w:tc>
          <w:tcPr>
            <w:tcW w:type="dxa" w:w="2736"/>
          </w:tcPr>
          <w:p>
            <w:r/>
            <w:r>
              <w:rPr>
                <w:sz w:val="18"/>
              </w:rPr>
              <w:t>applyPrepay</w:t>
            </w:r>
          </w:p>
        </w:tc>
        <w:tc>
          <w:tcPr>
            <w:tcW w:type="dxa" w:w="5040"/>
          </w:tcPr>
          <w:p>
            <w:r/>
            <w:r>
              <w:rPr>
                <w:sz w:val="18"/>
              </w:rPr>
              <w:t>Aplica el exceso de pago a capital (prepago)</w:t>
            </w:r>
          </w:p>
        </w:tc>
        <w:tc>
          <w:tcPr>
            <w:tcW w:type="dxa" w:w="1872"/>
          </w:tcPr>
          <w:p>
            <w:r/>
            <w:r>
              <w:rPr>
                <w:sz w:val="18"/>
              </w:rPr>
              <w:t>true</w:t>
            </w:r>
          </w:p>
        </w:tc>
      </w:tr>
      <w:tr>
        <w:tc>
          <w:tcPr>
            <w:tcW w:type="dxa" w:w="2736"/>
          </w:tcPr>
          <w:p>
            <w:r/>
            <w:r>
              <w:rPr>
                <w:sz w:val="18"/>
              </w:rPr>
              <w:t>recomputeAfterPrepay</w:t>
            </w:r>
          </w:p>
        </w:tc>
        <w:tc>
          <w:tcPr>
            <w:tcW w:type="dxa" w:w="5040"/>
          </w:tcPr>
          <w:p>
            <w:r/>
            <w:r>
              <w:rPr>
                <w:sz w:val="18"/>
              </w:rPr>
              <w:t>Reconduce el calendario tras un prepago</w:t>
            </w:r>
          </w:p>
        </w:tc>
        <w:tc>
          <w:tcPr>
            <w:tcW w:type="dxa" w:w="1872"/>
          </w:tcPr>
          <w:p>
            <w:r/>
            <w:r>
              <w:rPr>
                <w:sz w:val="18"/>
              </w:rPr>
              <w:t>true</w:t>
            </w:r>
          </w:p>
        </w:tc>
      </w:tr>
      <w:tr>
        <w:tc>
          <w:tcPr>
            <w:tcW w:type="dxa" w:w="2736"/>
          </w:tcPr>
          <w:p>
            <w:r/>
            <w:r>
              <w:rPr>
                <w:sz w:val="18"/>
              </w:rPr>
              <w:t>prepayAction</w:t>
            </w:r>
          </w:p>
        </w:tc>
        <w:tc>
          <w:tcPr>
            <w:tcW w:type="dxa" w:w="5040"/>
          </w:tcPr>
          <w:p>
            <w:r/>
            <w:r>
              <w:rPr>
                <w:sz w:val="18"/>
              </w:rPr>
              <w:t>Política de prepago: reduce_term o reduce_installment</w:t>
            </w:r>
          </w:p>
        </w:tc>
        <w:tc>
          <w:tcPr>
            <w:tcW w:type="dxa" w:w="1872"/>
          </w:tcPr>
          <w:p>
            <w:r/>
            <w:r>
              <w:rPr>
                <w:sz w:val="18"/>
              </w:rPr>
              <w:t>reduce_term</w:t>
            </w:r>
          </w:p>
        </w:tc>
      </w:tr>
      <w:tr>
        <w:tc>
          <w:tcPr>
            <w:tcW w:type="dxa" w:w="2736"/>
          </w:tcPr>
          <w:p>
            <w:r/>
            <w:r>
              <w:rPr>
                <w:sz w:val="18"/>
              </w:rPr>
              <w:t>adjustToBusinessDay</w:t>
            </w:r>
          </w:p>
        </w:tc>
        <w:tc>
          <w:tcPr>
            <w:tcW w:type="dxa" w:w="5040"/>
          </w:tcPr>
          <w:p>
            <w:r/>
            <w:r>
              <w:rPr>
                <w:sz w:val="18"/>
              </w:rPr>
              <w:t>Mueve vencimientos a día hábil siguiente</w:t>
            </w:r>
          </w:p>
        </w:tc>
        <w:tc>
          <w:tcPr>
            <w:tcW w:type="dxa" w:w="1872"/>
          </w:tcPr>
          <w:p>
            <w:r/>
            <w:r>
              <w:rPr>
                <w:sz w:val="18"/>
              </w:rPr>
              <w:t>true</w:t>
            </w:r>
          </w:p>
        </w:tc>
      </w:tr>
      <w:tr>
        <w:tc>
          <w:tcPr>
            <w:tcW w:type="dxa" w:w="2736"/>
          </w:tcPr>
          <w:p>
            <w:r/>
            <w:r>
              <w:rPr>
                <w:sz w:val="18"/>
              </w:rPr>
              <w:t>holidays</w:t>
            </w:r>
          </w:p>
        </w:tc>
        <w:tc>
          <w:tcPr>
            <w:tcW w:type="dxa" w:w="5040"/>
          </w:tcPr>
          <w:p>
            <w:r/>
            <w:r>
              <w:rPr>
                <w:sz w:val="18"/>
              </w:rPr>
              <w:t>Lista de feriados (AAAA-MM-DD)</w:t>
            </w:r>
          </w:p>
        </w:tc>
        <w:tc>
          <w:tcPr>
            <w:tcW w:type="dxa" w:w="1872"/>
          </w:tcPr>
          <w:p>
            <w:r/>
            <w:r>
              <w:rPr>
                <w:sz w:val="18"/>
              </w:rPr>
              <w:t>[ ]</w:t>
            </w:r>
          </w:p>
        </w:tc>
      </w:tr>
      <w:tr>
        <w:tc>
          <w:tcPr>
            <w:tcW w:type="dxa" w:w="2736"/>
          </w:tcPr>
          <w:p>
            <w:r/>
            <w:r>
              <w:rPr>
                <w:sz w:val="18"/>
              </w:rPr>
              <w:t>paymentMode</w:t>
            </w:r>
          </w:p>
        </w:tc>
        <w:tc>
          <w:tcPr>
            <w:tcW w:type="dxa" w:w="5040"/>
          </w:tcPr>
          <w:p>
            <w:r/>
            <w:r>
              <w:rPr>
                <w:sz w:val="18"/>
              </w:rPr>
              <w:t>libre (pagos reales) o simulación (con «hoy» simulado)</w:t>
            </w:r>
          </w:p>
        </w:tc>
        <w:tc>
          <w:tcPr>
            <w:tcW w:type="dxa" w:w="1872"/>
          </w:tcPr>
          <w:p>
            <w:r/>
            <w:r>
              <w:rPr>
                <w:sz w:val="18"/>
              </w:rPr>
              <w:t>libre</w:t>
            </w:r>
          </w:p>
        </w:tc>
      </w:tr>
    </w:tbl>
    <w:p>
      <w:pPr>
        <w:spacing w:after="40"/>
      </w:pPr>
    </w:p>
    <w:p>
      <w:pPr>
        <w:pStyle w:val="Heading1"/>
      </w:pPr>
      <w:r>
        <w:rPr>
          <w:color w:val="1F3A5F"/>
        </w:rPr>
        <w:t>6. Sistema de amortización francés (cuota fija en UVC)</w:t>
      </w:r>
    </w:p>
    <w:p>
      <w:r>
        <w:t>La norma exige que cada cuota incluya intereses y una porción de amortización de capital expresada en UVC. El sistema usa amortización francesa: la cuota en UVC es fija durante todo el plazo. Es el método más transparente porque el cliente conoce su cuota desde el inicio.</w:t>
      </w:r>
    </w:p>
    <w:p>
      <w:pPr>
        <w:pStyle w:val="Heading2"/>
      </w:pPr>
      <w:r>
        <w:rPr>
          <w:color w:val="2E5A88"/>
        </w:rPr>
        <w:t>6.1 Fórmula de la cuota fija</w:t>
      </w:r>
    </w:p>
    <w:p>
      <w:pPr>
        <w:spacing w:before="40" w:after="160"/>
        <w:ind w:left="432"/>
      </w:pPr>
      <w:r>
        <w:rPr>
          <w:rFonts w:ascii="Consolas" w:hAnsi="Consolas"/>
          <w:color w:val="4A148C"/>
          <w:sz w:val="20"/>
        </w:rPr>
        <w:t>i = tasa_anual / 12                          (tasa mensual)</w:t>
        <w:br/>
        <w:t>Cuota_UVC = Capital_UVC x [ i / (1 - (1 + i)^(-n)) ]</w:t>
        <w:br/>
        <w:t xml:space="preserve">   n = número de cuotas (meses)</w:t>
      </w:r>
    </w:p>
    <w:p>
      <w:r>
        <w:rPr>
          <w:b/>
        </w:rPr>
        <w:t xml:space="preserve">Caso especial - tasa cero: </w:t>
      </w:r>
      <w:r>
        <w:t>si la tasa es 0, la cuota es simplemente el capital dividido entre el número de cuotas:</w:t>
      </w:r>
    </w:p>
    <w:p>
      <w:pPr>
        <w:spacing w:before="40" w:after="160"/>
        <w:ind w:left="432"/>
      </w:pPr>
      <w:r>
        <w:rPr>
          <w:rFonts w:ascii="Consolas" w:hAnsi="Consolas"/>
          <w:color w:val="4A148C"/>
          <w:sz w:val="20"/>
        </w:rPr>
        <w:t>Cuota_UVC = Capital_UVC / n</w:t>
      </w:r>
    </w:p>
    <w:p>
      <w:pPr>
        <w:pStyle w:val="Heading2"/>
      </w:pPr>
      <w:r>
        <w:rPr>
          <w:color w:val="2E5A88"/>
        </w:rPr>
        <w:t>6.2 Descomposición de cada cuota</w:t>
      </w:r>
    </w:p>
    <w:p>
      <w:r>
        <w:t>En cada período se calcula primero el interés y luego la amortización es el resto de la cuota:</w:t>
      </w:r>
    </w:p>
    <w:p>
      <w:pPr>
        <w:spacing w:before="40" w:after="160"/>
        <w:ind w:left="432"/>
      </w:pPr>
      <w:r>
        <w:rPr>
          <w:rFonts w:ascii="Consolas" w:hAnsi="Consolas"/>
          <w:color w:val="4A148C"/>
          <w:sz w:val="20"/>
        </w:rPr>
        <w:t>tasa_periodo = tasa_anual x (dias_periodo / base_dias)</w:t>
        <w:br/>
        <w:t>Interes_UVC  = Saldo_UVC_inicial x tasa_periodo</w:t>
        <w:br/>
        <w:t>Amort_UVC    = Cuota_UVC - Interes_UVC</w:t>
        <w:br/>
        <w:t>Saldo_UVC_fin = Saldo_UVC_inicial - Amort_UVC</w:t>
      </w:r>
    </w:p>
    <w:p>
      <w:r>
        <w:t>Propiedad garantizada del método francés: la amortización crece y el interés decrece cada período, de modo que el saldo en UVC llega a cero en la última cuota.</w:t>
      </w:r>
    </w:p>
    <w:p>
      <w:pPr>
        <w:pStyle w:val="Heading2"/>
      </w:pPr>
      <w:r>
        <w:rPr>
          <w:color w:val="2E5A88"/>
        </w:rPr>
        <w:t>6.3 La última cuota cierra el saldo</w:t>
      </w:r>
    </w:p>
    <w:p>
      <w:r>
        <w:t>En el último período, la amortización se fuerza a igualar exactamente el saldo pendiente y la cuota se recalcula como interés + ese saldo. Así se evita que queden céntimos de UVC sin amortizar por redondeo.</w:t>
      </w:r>
    </w:p>
    <w:p>
      <w:pPr>
        <w:spacing w:before="40" w:after="160"/>
        <w:ind w:left="432"/>
      </w:pPr>
      <w:r>
        <w:rPr>
          <w:rFonts w:ascii="Consolas" w:hAnsi="Consolas"/>
          <w:color w:val="4A148C"/>
          <w:sz w:val="20"/>
        </w:rPr>
        <w:t>Amort_UVC(ultima)  = Saldo_UVC_inicial</w:t>
        <w:br/>
        <w:t>Cuota_UVC(ultima)  = Interes_UVC + Saldo_UVC_inicial</w:t>
      </w:r>
    </w:p>
    <w:tbl>
      <w:tblPr>
        <w:tblW w:type="auto" w:w="0"/>
        <w:jc w:val="center"/>
        <w:tblLook w:firstColumn="1" w:firstRow="1" w:lastColumn="0" w:lastRow="0" w:noHBand="0" w:noVBand="1" w:val="04A0"/>
      </w:tblPr>
      <w:tblGrid>
        <w:gridCol w:w="9360"/>
      </w:tblGrid>
      <w:tr>
        <w:tc>
          <w:tcPr>
            <w:tcW w:type="dxa" w:w="9360"/>
            <w:shd w:val="clear" w:fill="EAF1F8"/>
          </w:tcPr>
          <w:p>
            <w:r>
              <w:rPr>
                <w:b/>
                <w:color w:val="1F3A5F"/>
                <w:sz w:val="20"/>
              </w:rPr>
              <w:t xml:space="preserve">Regla de seguridad:  </w:t>
            </w:r>
            <w:r>
              <w:rPr>
                <w:sz w:val="20"/>
              </w:rPr>
              <w:t>si por algún cálculo la amortización diera negativa, se fija en 0 (la cuota nunca aumenta el capital: no hay anatocismo).</w:t>
            </w:r>
          </w:p>
        </w:tc>
      </w:tr>
    </w:tbl>
    <w:p>
      <w:pPr>
        <w:spacing w:after="40"/>
      </w:pPr>
    </w:p>
    <w:p>
      <w:pPr>
        <w:pStyle w:val="Heading1"/>
      </w:pPr>
      <w:r>
        <w:rPr>
          <w:color w:val="1F3A5F"/>
        </w:rPr>
        <w:t>7. Base de días (30/360 y actual/365)</w:t>
      </w:r>
    </w:p>
    <w:p>
      <w:r>
        <w:t>La «base de días» define cómo se cuentan los días de cada período y el denominador anual. Afecta el interés y la mora.</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872"/>
            <w:shd w:val="clear" w:fill="1F3A5F"/>
          </w:tcPr>
          <w:p>
            <w:r/>
            <w:r>
              <w:rPr>
                <w:b/>
                <w:color w:val="FFFFFF"/>
                <w:sz w:val="19"/>
              </w:rPr>
              <w:t>Convención</w:t>
            </w:r>
          </w:p>
        </w:tc>
        <w:tc>
          <w:tcPr>
            <w:tcW w:type="dxa" w:w="3744"/>
            <w:shd w:val="clear" w:fill="1F3A5F"/>
          </w:tcPr>
          <w:p>
            <w:r/>
            <w:r>
              <w:rPr>
                <w:b/>
                <w:color w:val="FFFFFF"/>
                <w:sz w:val="19"/>
              </w:rPr>
              <w:t>Cómo cuenta los días</w:t>
            </w:r>
          </w:p>
        </w:tc>
        <w:tc>
          <w:tcPr>
            <w:tcW w:type="dxa" w:w="1440"/>
            <w:shd w:val="clear" w:fill="1F3A5F"/>
          </w:tcPr>
          <w:p>
            <w:r/>
            <w:r>
              <w:rPr>
                <w:b/>
                <w:color w:val="FFFFFF"/>
                <w:sz w:val="19"/>
              </w:rPr>
              <w:t>Base anual</w:t>
            </w:r>
          </w:p>
        </w:tc>
        <w:tc>
          <w:tcPr>
            <w:tcW w:type="dxa" w:w="2592"/>
            <w:shd w:val="clear" w:fill="1F3A5F"/>
          </w:tcPr>
          <w:p>
            <w:r/>
            <w:r>
              <w:rPr>
                <w:b/>
                <w:color w:val="FFFFFF"/>
                <w:sz w:val="19"/>
              </w:rPr>
              <w:t>Uso típico</w:t>
            </w:r>
          </w:p>
        </w:tc>
      </w:tr>
      <w:tr>
        <w:tc>
          <w:tcPr>
            <w:tcW w:type="dxa" w:w="1872"/>
          </w:tcPr>
          <w:p>
            <w:r/>
            <w:r>
              <w:rPr>
                <w:sz w:val="19"/>
              </w:rPr>
              <w:t>30/360</w:t>
            </w:r>
          </w:p>
        </w:tc>
        <w:tc>
          <w:tcPr>
            <w:tcW w:type="dxa" w:w="3744"/>
          </w:tcPr>
          <w:p>
            <w:r/>
            <w:r>
              <w:rPr>
                <w:sz w:val="19"/>
              </w:rPr>
              <w:t>Cada mes = 30 días; año = 360</w:t>
            </w:r>
          </w:p>
        </w:tc>
        <w:tc>
          <w:tcPr>
            <w:tcW w:type="dxa" w:w="1440"/>
          </w:tcPr>
          <w:p>
            <w:r/>
            <w:r>
              <w:rPr>
                <w:sz w:val="19"/>
              </w:rPr>
              <w:t>360</w:t>
            </w:r>
          </w:p>
        </w:tc>
        <w:tc>
          <w:tcPr>
            <w:tcW w:type="dxa" w:w="2592"/>
          </w:tcPr>
          <w:p>
            <w:r/>
            <w:r>
              <w:rPr>
                <w:sz w:val="19"/>
              </w:rPr>
              <w:t>Hipotecario, comercial estructurado (predominante en banca venezolana)</w:t>
            </w:r>
          </w:p>
        </w:tc>
      </w:tr>
      <w:tr>
        <w:tc>
          <w:tcPr>
            <w:tcW w:type="dxa" w:w="1872"/>
          </w:tcPr>
          <w:p>
            <w:r/>
            <w:r>
              <w:rPr>
                <w:sz w:val="19"/>
              </w:rPr>
              <w:t>Actual/365</w:t>
            </w:r>
          </w:p>
        </w:tc>
        <w:tc>
          <w:tcPr>
            <w:tcW w:type="dxa" w:w="3744"/>
          </w:tcPr>
          <w:p>
            <w:r/>
            <w:r>
              <w:rPr>
                <w:sz w:val="19"/>
              </w:rPr>
              <w:t>Días calendario reales</w:t>
            </w:r>
          </w:p>
        </w:tc>
        <w:tc>
          <w:tcPr>
            <w:tcW w:type="dxa" w:w="1440"/>
          </w:tcPr>
          <w:p>
            <w:r/>
            <w:r>
              <w:rPr>
                <w:sz w:val="19"/>
              </w:rPr>
              <w:t>365</w:t>
            </w:r>
          </w:p>
        </w:tc>
        <w:tc>
          <w:tcPr>
            <w:tcW w:type="dxa" w:w="2592"/>
          </w:tcPr>
          <w:p>
            <w:r/>
            <w:r>
              <w:rPr>
                <w:sz w:val="19"/>
              </w:rPr>
              <w:t>Consumo, microcrédito, productos a tasa de mercado</w:t>
            </w:r>
          </w:p>
        </w:tc>
      </w:tr>
    </w:tbl>
    <w:p>
      <w:pPr>
        <w:spacing w:after="40"/>
      </w:pPr>
    </w:p>
    <w:p>
      <w:pPr>
        <w:spacing w:before="40" w:after="160"/>
        <w:ind w:left="432"/>
      </w:pPr>
      <w:r>
        <w:rPr>
          <w:rFonts w:ascii="Consolas" w:hAnsi="Consolas"/>
          <w:color w:val="4A148C"/>
          <w:sz w:val="20"/>
        </w:rPr>
        <w:t>tasa_periodo = tasa_anual x (dias_periodo / base_dias)</w:t>
      </w:r>
    </w:p>
    <w:p>
      <w:pPr>
        <w:pStyle w:val="Heading1"/>
      </w:pPr>
      <w:r>
        <w:rPr>
          <w:color w:val="1F3A5F"/>
        </w:rPr>
        <w:t>8. Valoración de intereses: IDI al vencimiento vs. IDI diario</w:t>
      </w:r>
    </w:p>
    <w:p>
      <w:r>
        <w:t>Los intereses se acumulan en UVC, pero hay que expresarlos en bolívares. La pregunta es: qué IDI se usa para esa conversión. Hay dos modalidades.</w:t>
      </w:r>
    </w:p>
    <w:p>
      <w:pPr>
        <w:pStyle w:val="Heading2"/>
      </w:pPr>
      <w:r>
        <w:rPr>
          <w:color w:val="2E5A88"/>
        </w:rPr>
        <w:t>8.1 IDI al vencimiento (idi_due)</w:t>
      </w:r>
    </w:p>
    <w:p>
      <w:r>
        <w:t>Sencillo: convierte todo el interés del período con el IDI del día de vencimiento.</w:t>
      </w:r>
    </w:p>
    <w:p>
      <w:pPr>
        <w:spacing w:before="40" w:after="160"/>
        <w:ind w:left="432"/>
      </w:pPr>
      <w:r>
        <w:rPr>
          <w:rFonts w:ascii="Consolas" w:hAnsi="Consolas"/>
          <w:color w:val="4A148C"/>
          <w:sz w:val="20"/>
        </w:rPr>
        <w:t>Interes_Bs = Interes_UVC x IDI_vencimiento</w:t>
      </w:r>
    </w:p>
    <w:p>
      <w:pPr>
        <w:pStyle w:val="Heading2"/>
      </w:pPr>
      <w:r>
        <w:rPr>
          <w:color w:val="2E5A88"/>
        </w:rPr>
        <w:t>8.2 IDI diario (idi_daily) - recomendado</w:t>
      </w:r>
    </w:p>
    <w:p>
      <w:r>
        <w:t>Más preciso: reparte el interés día a día y cada porción se convierte con el IDI de su propio día. Es el criterio de devengo diario que usan los modelos contables.</w:t>
      </w:r>
    </w:p>
    <w:p>
      <w:pPr>
        <w:spacing w:before="40" w:after="160"/>
        <w:ind w:left="432"/>
      </w:pPr>
      <w:r>
        <w:rPr>
          <w:rFonts w:ascii="Consolas" w:hAnsi="Consolas"/>
          <w:color w:val="4A148C"/>
          <w:sz w:val="20"/>
        </w:rPr>
        <w:t>Interes_UVC_dia = Saldo_UVC_inicial x (tasa_anual / base_dias)</w:t>
        <w:br/>
        <w:t>Interes_Bs = SUMA sobre cada dia t del periodo de [ Interes_UVC_dia x IDI(t) ]</w:t>
        <w:br/>
        <w:br/>
        <w:t>Forma equivalente usada en el codigo:</w:t>
        <w:br/>
        <w:t>Interes_Bs = Interes_UVC x ( Suma_IDI_del_periodo / dias_periodo )</w:t>
      </w:r>
    </w:p>
    <w:tbl>
      <w:tblPr>
        <w:tblW w:type="auto" w:w="0"/>
        <w:jc w:val="center"/>
        <w:tblLook w:firstColumn="1" w:firstRow="1" w:lastColumn="0" w:lastRow="0" w:noHBand="0" w:noVBand="1" w:val="04A0"/>
      </w:tblPr>
      <w:tblGrid>
        <w:gridCol w:w="9360"/>
      </w:tblGrid>
      <w:tr>
        <w:tc>
          <w:tcPr>
            <w:tcW w:type="dxa" w:w="9360"/>
            <w:shd w:val="clear" w:fill="EAF1F8"/>
          </w:tcPr>
          <w:p>
            <w:r>
              <w:rPr>
                <w:b/>
                <w:color w:val="1F3A5F"/>
                <w:sz w:val="20"/>
              </w:rPr>
              <w:t xml:space="preserve">¿Cuál usar?  </w:t>
            </w:r>
            <w:r>
              <w:rPr>
                <w:sz w:val="20"/>
              </w:rPr>
              <w:t>el IDI diario es el más defendible ante una auditoría y el que mejor refleja la inflación del período. El IDI al vencimiento es una simplificación aceptable para presentaciones administrativas.</w:t>
            </w:r>
          </w:p>
        </w:tc>
      </w:tr>
    </w:tbl>
    <w:p>
      <w:pPr>
        <w:spacing w:after="40"/>
      </w:pPr>
    </w:p>
    <w:p>
      <w:pPr>
        <w:pStyle w:val="Heading1"/>
      </w:pPr>
      <w:r>
        <w:rPr>
          <w:color w:val="1F3A5F"/>
        </w:rPr>
        <w:t>9. Desglose de la cuota en bolívares (base, variación y valorización UVC)</w:t>
      </w:r>
    </w:p>
    <w:p>
      <w:r>
        <w:t>Cada cuota en bolívares tiene dos partes: intereses y amortización. A su vez, cada una de esas partes se separa en un «componente base» (valor al IDI de desembolso) y un «componente de variación» (la actualización por inflación entre el desembolso y el vencimiento).</w:t>
      </w:r>
    </w:p>
    <w:p>
      <w:pPr>
        <w:pStyle w:val="Heading2"/>
      </w:pPr>
      <w:r>
        <w:rPr>
          <w:color w:val="2E5A88"/>
        </w:rPr>
        <w:t>9.1 Componentes de la cuota</w:t>
      </w:r>
    </w:p>
    <w:p>
      <w:pPr>
        <w:spacing w:before="40" w:after="160"/>
        <w:ind w:left="432"/>
      </w:pPr>
      <w:r>
        <w:rPr>
          <w:rFonts w:ascii="Consolas" w:hAnsi="Consolas"/>
          <w:color w:val="4A148C"/>
          <w:sz w:val="20"/>
        </w:rPr>
        <w:t>Amort_Bs  = Amort_UVC  x IDI_vencimiento</w:t>
        <w:br/>
        <w:t>Cuota_Bs  = Interes_Bs + Amort_Bs</w:t>
        <w:br/>
        <w:t>Saldo_Bs  = Saldo_UVC_fin x IDI_vencimiento</w:t>
      </w:r>
    </w:p>
    <w:p>
      <w:pPr>
        <w:pStyle w:val="Heading2"/>
      </w:pPr>
      <w:r>
        <w:rPr>
          <w:color w:val="2E5A88"/>
        </w:rPr>
        <w:t>9.2 Componente base vs. componente de variación</w:t>
      </w:r>
    </w:p>
    <w:p>
      <w:pPr>
        <w:spacing w:before="40" w:after="160"/>
        <w:ind w:left="432"/>
      </w:pPr>
      <w:r>
        <w:rPr>
          <w:rFonts w:ascii="Consolas" w:hAnsi="Consolas"/>
          <w:color w:val="4A148C"/>
          <w:sz w:val="20"/>
        </w:rPr>
        <w:t>Componente_base_Bs      = Monto_UVC x IDI_desembolso</w:t>
        <w:br/>
        <w:t>Componente_variacion_Bs = Monto_UVC x (IDI_vencimiento - IDI_desembolso)</w:t>
        <w:br/>
        <w:t xml:space="preserve">                        = Monto_Bs - Componente_base_Bs</w:t>
      </w:r>
    </w:p>
    <w:p>
      <w:r>
        <w:t>Esto se calcula por separado para la amortización y para el interés (amortBaseBs / amortVarBs, interesBaseBs / interesVarBs). Permite reportar la utilidad financiera ordinaria por separado de la utilidad por actualización monetaria, y alimenta los asientos contables (cuentas .M.35 vs. .M.36).</w:t>
      </w:r>
    </w:p>
    <w:p>
      <w:pPr>
        <w:pStyle w:val="Heading2"/>
      </w:pPr>
      <w:r>
        <w:rPr>
          <w:color w:val="2E5A88"/>
        </w:rPr>
        <w:t>9.3 Valorización UVC</w:t>
      </w:r>
    </w:p>
    <w:p>
      <w:r>
        <w:t>La valorización UVC es la ganancia en bolívares que produce la inflación (subida del IDI) entre el desembolso y el vencimiento de cada cuota:</w:t>
      </w:r>
    </w:p>
    <w:p>
      <w:pPr>
        <w:spacing w:before="40" w:after="160"/>
        <w:ind w:left="432"/>
      </w:pPr>
      <w:r>
        <w:rPr>
          <w:rFonts w:ascii="Consolas" w:hAnsi="Consolas"/>
          <w:color w:val="4A148C"/>
          <w:sz w:val="20"/>
        </w:rPr>
        <w:t>Val_UVC_capital = Amort_Bs   - Amort_UVC   x IDI_desembolso</w:t>
        <w:br/>
        <w:t>Val_UVC_rend    = Interes_Bs - Interes_UVC x IDI_desembolso</w:t>
      </w:r>
    </w:p>
    <w:tbl>
      <w:tblPr>
        <w:tblStyle w:val="LightGrid-Accent1"/>
        <w:tblW w:type="auto" w:w="0"/>
        <w:jc w:val="center"/>
        <w:tblLook w:firstColumn="1" w:firstRow="1" w:lastColumn="0" w:lastRow="0" w:noHBand="0" w:noVBand="1" w:val="04A0"/>
      </w:tblPr>
      <w:tblGrid>
        <w:gridCol w:w="4680"/>
        <w:gridCol w:w="4680"/>
      </w:tblGrid>
      <w:tr>
        <w:tc>
          <w:tcPr>
            <w:tcW w:type="dxa" w:w="4320"/>
            <w:shd w:val="clear" w:fill="1F3A5F"/>
          </w:tcPr>
          <w:p>
            <w:r/>
            <w:r>
              <w:rPr>
                <w:b/>
                <w:color w:val="FFFFFF"/>
                <w:sz w:val="19"/>
              </w:rPr>
              <w:t>Situación del IDI</w:t>
            </w:r>
          </w:p>
        </w:tc>
        <w:tc>
          <w:tcPr>
            <w:tcW w:type="dxa" w:w="5328"/>
            <w:shd w:val="clear" w:fill="1F3A5F"/>
          </w:tcPr>
          <w:p>
            <w:r/>
            <w:r>
              <w:rPr>
                <w:b/>
                <w:color w:val="FFFFFF"/>
                <w:sz w:val="19"/>
              </w:rPr>
              <w:t>Resultado de la valorización</w:t>
            </w:r>
          </w:p>
        </w:tc>
      </w:tr>
      <w:tr>
        <w:tc>
          <w:tcPr>
            <w:tcW w:type="dxa" w:w="4320"/>
          </w:tcPr>
          <w:p>
            <w:r/>
            <w:r>
              <w:rPr>
                <w:sz w:val="19"/>
              </w:rPr>
              <w:t>IDI_vencimiento &gt; IDI_desembolso (inflación)</w:t>
            </w:r>
          </w:p>
        </w:tc>
        <w:tc>
          <w:tcPr>
            <w:tcW w:type="dxa" w:w="5328"/>
          </w:tcPr>
          <w:p>
            <w:r/>
            <w:r>
              <w:rPr>
                <w:sz w:val="19"/>
              </w:rPr>
              <w:t>Valorización positiva: el banco recibe más Bs por la misma UVC.</w:t>
            </w:r>
          </w:p>
        </w:tc>
      </w:tr>
      <w:tr>
        <w:tc>
          <w:tcPr>
            <w:tcW w:type="dxa" w:w="4320"/>
          </w:tcPr>
          <w:p>
            <w:r/>
            <w:r>
              <w:rPr>
                <w:sz w:val="19"/>
              </w:rPr>
              <w:t>IDI_vencimiento = IDI_desembolso</w:t>
            </w:r>
          </w:p>
        </w:tc>
        <w:tc>
          <w:tcPr>
            <w:tcW w:type="dxa" w:w="5328"/>
          </w:tcPr>
          <w:p>
            <w:r/>
            <w:r>
              <w:rPr>
                <w:sz w:val="19"/>
              </w:rPr>
              <w:t>Valorización cero: no hubo cambio de valor.</w:t>
            </w:r>
          </w:p>
        </w:tc>
      </w:tr>
      <w:tr>
        <w:tc>
          <w:tcPr>
            <w:tcW w:type="dxa" w:w="4320"/>
          </w:tcPr>
          <w:p>
            <w:r/>
            <w:r>
              <w:rPr>
                <w:sz w:val="19"/>
              </w:rPr>
              <w:t>IDI_vencimiento &lt; IDI_desembolso (deflación del IDI)</w:t>
            </w:r>
          </w:p>
        </w:tc>
        <w:tc>
          <w:tcPr>
            <w:tcW w:type="dxa" w:w="5328"/>
          </w:tcPr>
          <w:p>
            <w:r/>
            <w:r>
              <w:rPr>
                <w:sz w:val="19"/>
              </w:rPr>
              <w:t>Valorización negativa: se reversa contablemente.</w:t>
            </w:r>
          </w:p>
        </w:tc>
      </w:tr>
    </w:tbl>
    <w:p>
      <w:pPr>
        <w:spacing w:after="40"/>
      </w:pPr>
    </w:p>
    <w:p>
      <w:pPr>
        <w:pStyle w:val="Heading1"/>
      </w:pPr>
      <w:r>
        <w:rPr>
          <w:color w:val="1F3A5F"/>
        </w:rPr>
        <w:t>10. Saldo del crédito</w:t>
      </w:r>
    </w:p>
    <w:p>
      <w:r>
        <w:t>El saldo se lleva en UVC y se expresa en bolívares cuando se necesita:</w:t>
      </w:r>
    </w:p>
    <w:p>
      <w:pPr>
        <w:spacing w:before="40" w:after="160"/>
        <w:ind w:left="432"/>
      </w:pPr>
      <w:r>
        <w:rPr>
          <w:rFonts w:ascii="Consolas" w:hAnsi="Consolas"/>
          <w:color w:val="4A148C"/>
          <w:sz w:val="20"/>
        </w:rPr>
        <w:t>Saldo_UVC_fin = Saldo_UVC_inicial - capital_amortizado_UVC</w:t>
        <w:br/>
        <w:t>Saldo_Bs      = Saldo_UVC_fin x IDI_vencimiento</w:t>
      </w:r>
    </w:p>
    <w:p>
      <w:r>
        <w:t>Importante: el avance del saldo depende de si hubo pago registrado.</w:t>
      </w:r>
    </w:p>
    <w:p>
      <w:pPr>
        <w:pStyle w:val="ListBullet"/>
      </w:pPr>
      <w:r>
        <w:t>Si hay un pago válido registrado, el saldo baja por el capital realmente pagado (en UVC), lo que captura pagos parciales y prepagos.</w:t>
      </w:r>
    </w:p>
    <w:p>
      <w:pPr>
        <w:pStyle w:val="ListBullet"/>
      </w:pPr>
      <w:r>
        <w:t>Si todavía no hay pago, el saldo baja por la amortización programada, para que el calendario muestre el comportamiento normal del método francés aun antes de cobrar.</w:t>
      </w:r>
    </w:p>
    <w:p>
      <w:pPr>
        <w:pStyle w:val="Heading1"/>
      </w:pPr>
      <w:r>
        <w:rPr>
          <w:color w:val="1F3A5F"/>
        </w:rPr>
        <w:t>11. Mora: cuándo, cuánto y sobre qué se cobra</w:t>
      </w:r>
    </w:p>
    <w:p>
      <w:pPr>
        <w:pStyle w:val="Heading2"/>
      </w:pPr>
      <w:r>
        <w:rPr>
          <w:color w:val="2E5A88"/>
        </w:rPr>
        <w:t>11.1 Días de mora</w:t>
      </w:r>
    </w:p>
    <w:p>
      <w:r>
        <w:t>La mora empieza el primer día de atraso después del vencimiento, descontando los días de gracia configurados.</w:t>
      </w:r>
    </w:p>
    <w:p>
      <w:pPr>
        <w:spacing w:before="40" w:after="160"/>
        <w:ind w:left="432"/>
      </w:pPr>
      <w:r>
        <w:rPr>
          <w:rFonts w:ascii="Consolas" w:hAnsi="Consolas"/>
          <w:color w:val="4A148C"/>
          <w:sz w:val="20"/>
        </w:rPr>
        <w:t>Dias_mora = max(0, dias_entre(vencimiento, fecha_pago) - dias_gracia)</w:t>
      </w:r>
    </w:p>
    <w:p>
      <w:pPr>
        <w:pStyle w:val="Heading2"/>
      </w:pPr>
      <w:r>
        <w:rPr>
          <w:color w:val="2E5A88"/>
        </w:rPr>
        <w:t>11.2 Fórmula de la mora</w:t>
      </w:r>
    </w:p>
    <w:p>
      <w:r>
        <w:t>La mora se calcula solo sobre el capital vencido (sin anatocismo: nunca sobre intereses ni sobre cuotas futuras). La base puede ser la cuota de capital o el saldo total:</w:t>
      </w:r>
    </w:p>
    <w:p>
      <w:pPr>
        <w:spacing w:before="40" w:after="160"/>
        <w:ind w:left="432"/>
      </w:pPr>
      <w:r>
        <w:rPr>
          <w:rFonts w:ascii="Consolas" w:hAnsi="Consolas"/>
          <w:color w:val="4A148C"/>
          <w:sz w:val="20"/>
        </w:rPr>
        <w:t>Base_mora_UVC = Amort_UVC   (si moraBase = 'amort')   -&gt; opcion por defecto</w:t>
        <w:br/>
        <w:t>Base_mora_UVC = Saldo_UVC   (si moraBase = 'saldo')</w:t>
        <w:br/>
        <w:br/>
        <w:t>Mora_UVC = Base_mora_UVC x tasa_mora x (Dias_mora / base_dias)</w:t>
      </w:r>
    </w:p>
    <w:p>
      <w:r>
        <w:t>Conversión a bolívares (igual que el interés, según la modalidad de valoración):</w:t>
      </w:r>
    </w:p>
    <w:p>
      <w:pPr>
        <w:spacing w:before="40" w:after="160"/>
        <w:ind w:left="432"/>
      </w:pPr>
      <w:r>
        <w:rPr>
          <w:rFonts w:ascii="Consolas" w:hAnsi="Consolas"/>
          <w:color w:val="4A148C"/>
          <w:sz w:val="20"/>
        </w:rPr>
        <w:t>Mora_Bs = Mora_UVC x IDI_fecha_pago                         (IDI al vencimiento)</w:t>
        <w:br/>
        <w:t>Mora_Bs = SUMA diaria [ Mora_UVC_dia x IDI(t) ]             (IDI diario)</w:t>
      </w:r>
    </w:p>
    <w:p>
      <w:pPr>
        <w:pStyle w:val="Heading2"/>
      </w:pPr>
      <w:r>
        <w:rPr>
          <w:color w:val="2E5A88"/>
        </w:rPr>
        <w:t>11.3 Comparación de bases de mora</w:t>
      </w:r>
    </w:p>
    <w:tbl>
      <w:tblPr>
        <w:tblStyle w:val="LightGrid-Accent1"/>
        <w:tblW w:type="auto" w:w="0"/>
        <w:jc w:val="center"/>
        <w:tblLook w:firstColumn="1" w:firstRow="1" w:lastColumn="0" w:lastRow="0" w:noHBand="0" w:noVBand="1" w:val="04A0"/>
      </w:tblPr>
      <w:tblGrid>
        <w:gridCol w:w="3120"/>
        <w:gridCol w:w="3120"/>
        <w:gridCol w:w="3120"/>
      </w:tblGrid>
      <w:tr>
        <w:tc>
          <w:tcPr>
            <w:tcW w:type="dxa" w:w="1440"/>
            <w:shd w:val="clear" w:fill="1F3A5F"/>
          </w:tcPr>
          <w:p>
            <w:r/>
            <w:r>
              <w:rPr>
                <w:b/>
                <w:color w:val="FFFFFF"/>
                <w:sz w:val="19"/>
              </w:rPr>
              <w:t>Base</w:t>
            </w:r>
          </w:p>
        </w:tc>
        <w:tc>
          <w:tcPr>
            <w:tcW w:type="dxa" w:w="3888"/>
            <w:shd w:val="clear" w:fill="1F3A5F"/>
          </w:tcPr>
          <w:p>
            <w:r/>
            <w:r>
              <w:rPr>
                <w:b/>
                <w:color w:val="FFFFFF"/>
                <w:sz w:val="19"/>
              </w:rPr>
              <w:t>Sobre qué cobra</w:t>
            </w:r>
          </w:p>
        </w:tc>
        <w:tc>
          <w:tcPr>
            <w:tcW w:type="dxa" w:w="4320"/>
            <w:shd w:val="clear" w:fill="1F3A5F"/>
          </w:tcPr>
          <w:p>
            <w:r/>
            <w:r>
              <w:rPr>
                <w:b/>
                <w:color w:val="FFFFFF"/>
                <w:sz w:val="19"/>
              </w:rPr>
              <w:t>Cuándo se usa</w:t>
            </w:r>
          </w:p>
        </w:tc>
      </w:tr>
      <w:tr>
        <w:tc>
          <w:tcPr>
            <w:tcW w:type="dxa" w:w="1440"/>
          </w:tcPr>
          <w:p>
            <w:r/>
            <w:r>
              <w:rPr>
                <w:sz w:val="19"/>
              </w:rPr>
              <w:t>amort</w:t>
            </w:r>
          </w:p>
        </w:tc>
        <w:tc>
          <w:tcPr>
            <w:tcW w:type="dxa" w:w="3888"/>
          </w:tcPr>
          <w:p>
            <w:r/>
            <w:r>
              <w:rPr>
                <w:sz w:val="19"/>
              </w:rPr>
              <w:t>La cuota de capital impagada</w:t>
            </w:r>
          </w:p>
        </w:tc>
        <w:tc>
          <w:tcPr>
            <w:tcW w:type="dxa" w:w="4320"/>
          </w:tcPr>
          <w:p>
            <w:r/>
            <w:r>
              <w:rPr>
                <w:sz w:val="19"/>
              </w:rPr>
              <w:t>Opción por defecto y de mayor aceptación regulatoria.</w:t>
            </w:r>
          </w:p>
        </w:tc>
      </w:tr>
      <w:tr>
        <w:tc>
          <w:tcPr>
            <w:tcW w:type="dxa" w:w="1440"/>
          </w:tcPr>
          <w:p>
            <w:r/>
            <w:r>
              <w:rPr>
                <w:sz w:val="19"/>
              </w:rPr>
              <w:t>saldo</w:t>
            </w:r>
          </w:p>
        </w:tc>
        <w:tc>
          <w:tcPr>
            <w:tcW w:type="dxa" w:w="3888"/>
          </w:tcPr>
          <w:p>
            <w:r/>
            <w:r>
              <w:rPr>
                <w:sz w:val="19"/>
              </w:rPr>
              <w:t>El saldo total del crédito</w:t>
            </w:r>
          </w:p>
        </w:tc>
        <w:tc>
          <w:tcPr>
            <w:tcW w:type="dxa" w:w="4320"/>
          </w:tcPr>
          <w:p>
            <w:r/>
            <w:r>
              <w:rPr>
                <w:sz w:val="19"/>
              </w:rPr>
              <w:t>Más penalizante; solo si el contrato lo especifica.</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fill="FCF3E7"/>
          </w:tcPr>
          <w:p>
            <w:r>
              <w:rPr>
                <w:b/>
                <w:color w:val="9A5200"/>
                <w:sz w:val="20"/>
              </w:rPr>
              <w:t xml:space="preserve">Tope regulatorio de la mora:  </w:t>
            </w:r>
            <w:r>
              <w:rPr>
                <w:sz w:val="20"/>
              </w:rPr>
              <w:t>para créditos en UVC la mora máxima es 0,80 % anual adicional; para créditos no UVC, 3 % anual (Res. BCV 21-01-02, Art. 7). El sistema verifica estos topes automáticamente.</w:t>
            </w:r>
          </w:p>
        </w:tc>
      </w:tr>
    </w:tbl>
    <w:p>
      <w:pPr>
        <w:spacing w:after="40"/>
      </w:pPr>
    </w:p>
    <w:p>
      <w:pPr>
        <w:pStyle w:val="Heading2"/>
      </w:pPr>
      <w:r>
        <w:rPr>
          <w:color w:val="2E5A88"/>
        </w:rPr>
        <w:t>11.4 Ejemplos de mora</w:t>
      </w:r>
    </w:p>
    <w:tbl>
      <w:tblPr>
        <w:tblW w:type="auto" w:w="0"/>
        <w:jc w:val="center"/>
        <w:tblLook w:firstColumn="1" w:firstRow="1" w:lastColumn="0" w:lastRow="0" w:noHBand="0" w:noVBand="1" w:val="04A0"/>
      </w:tblPr>
      <w:tblGrid>
        <w:gridCol w:w="9360"/>
      </w:tblGrid>
      <w:tr>
        <w:tc>
          <w:tcPr>
            <w:tcW w:type="dxa" w:w="9360"/>
            <w:shd w:val="clear" w:fill="EAF6EC"/>
          </w:tcPr>
          <w:p>
            <w:r>
              <w:rPr>
                <w:b/>
                <w:color w:val="1B5E20"/>
                <w:sz w:val="20"/>
              </w:rPr>
              <w:t xml:space="preserve">Ejemplo A - mora leve (10 días, umbral 30):  </w:t>
            </w:r>
            <w:r>
              <w:rPr>
                <w:sz w:val="20"/>
              </w:rPr>
              <w:t>I_mora = 13.192,29 x 0,19 x 10 / 360 = 69,62 Bs.  Se considera VIGENTE (no supera el umbral). La mora se registra en cartera activa (143).</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fill="FBECEC"/>
          </w:tcPr>
          <w:p>
            <w:r>
              <w:rPr>
                <w:b/>
                <w:color w:val="8E1B1B"/>
                <w:sz w:val="20"/>
              </w:rPr>
              <w:t xml:space="preserve">Ejemplo B - mora avanzada (75 días, umbral 30):  </w:t>
            </w:r>
            <w:r>
              <w:rPr>
                <w:sz w:val="20"/>
              </w:rPr>
              <w:t>I_mora = 13.192,29 x 0,19 x 75 / 360 = 522,17 Bs.  Supera el umbral: los intereses dejan de reconocerse como ingreso y la mora pasa a cuentas de orden (819).</w:t>
            </w:r>
          </w:p>
        </w:tc>
      </w:tr>
    </w:tbl>
    <w:p>
      <w:pPr>
        <w:spacing w:after="40"/>
      </w:pPr>
    </w:p>
    <w:p>
      <w:pPr>
        <w:pStyle w:val="Heading1"/>
      </w:pPr>
      <w:r>
        <w:rPr>
          <w:color w:val="1F3A5F"/>
        </w:rPr>
        <w:t>12. Orden de imputación de los pagos</w:t>
      </w:r>
    </w:p>
    <w:p>
      <w:r>
        <w:t>Cuando entra un pago, se aplica en un orden estricto para que el capital no se reduzca antes de cubrir los costos del atraso. En el sistema el orden es:</w:t>
      </w:r>
    </w:p>
    <w:p>
      <w:pPr>
        <w:pStyle w:val="ListNumber"/>
      </w:pPr>
      <w:r>
        <w:t>Mora (intereses moratorios pendientes + mora del período).</w:t>
      </w:r>
    </w:p>
    <w:p>
      <w:pPr>
        <w:pStyle w:val="ListNumber"/>
      </w:pPr>
      <w:r>
        <w:t>Intereses corrientes (vencidos + del período).</w:t>
      </w:r>
    </w:p>
    <w:p>
      <w:pPr>
        <w:pStyle w:val="ListNumber"/>
      </w:pPr>
      <w:r>
        <w:t>Capital de la cuota (amortización programada).</w:t>
      </w:r>
    </w:p>
    <w:p>
      <w:pPr>
        <w:pStyle w:val="ListNumber"/>
      </w:pPr>
      <w:r>
        <w:t>Excedente -&gt; abono a capital (prepago), solo si applyPrepay está activo.</w:t>
      </w:r>
    </w:p>
    <w:p>
      <w:pPr>
        <w:spacing w:before="40" w:after="160"/>
        <w:ind w:left="432"/>
      </w:pPr>
      <w:r>
        <w:rPr>
          <w:rFonts w:ascii="Consolas" w:hAnsi="Consolas"/>
          <w:color w:val="4A148C"/>
          <w:sz w:val="20"/>
        </w:rPr>
        <w:t>restante = pago</w:t>
        <w:br/>
        <w:t>pagado_mora     = min(restante, mora_pendiente + mora_periodo);   restante -= pagado_mora</w:t>
        <w:br/>
        <w:t>pagado_interes  = min(restante, interes_pend + interes_periodo);  restante -= pagado_interes</w:t>
        <w:br/>
        <w:t>pagado_capital  = min(restante, amortizacion_Bs);                 restante -= pagado_capital</w:t>
        <w:br/>
        <w:t>pagado_extra    = restante   (si applyPrepay)  -&gt; va a capital</w:t>
      </w:r>
    </w:p>
    <w:tbl>
      <w:tblPr>
        <w:tblW w:type="auto" w:w="0"/>
        <w:jc w:val="center"/>
        <w:tblLook w:firstColumn="1" w:firstRow="1" w:lastColumn="0" w:lastRow="0" w:noHBand="0" w:noVBand="1" w:val="04A0"/>
      </w:tblPr>
      <w:tblGrid>
        <w:gridCol w:w="9360"/>
      </w:tblGrid>
      <w:tr>
        <w:tc>
          <w:tcPr>
            <w:tcW w:type="dxa" w:w="9360"/>
            <w:shd w:val="clear" w:fill="FCF3E7"/>
          </w:tcPr>
          <w:p>
            <w:r>
              <w:rPr>
                <w:b/>
                <w:color w:val="9A5200"/>
                <w:sz w:val="20"/>
              </w:rPr>
              <w:t xml:space="preserve">Nota legal:  </w:t>
            </w:r>
            <w:r>
              <w:rPr>
                <w:sz w:val="20"/>
              </w:rPr>
              <w:t>el orden del marco regulatorio antepone los gastos de cobranza (si existen) antes de la mora. El sistema no modela gastos de cobranza, por lo que comienza por la mora.</w:t>
            </w:r>
          </w:p>
        </w:tc>
      </w:tr>
    </w:tbl>
    <w:p>
      <w:pPr>
        <w:spacing w:after="40"/>
      </w:pPr>
    </w:p>
    <w:p>
      <w:pPr>
        <w:pStyle w:val="Heading1"/>
      </w:pPr>
      <w:r>
        <w:rPr>
          <w:color w:val="1F3A5F"/>
        </w:rPr>
        <w:t>13. Clasificación de la cartera de créditos</w:t>
      </w:r>
    </w:p>
    <w:p>
      <w:r>
        <w:t>Según los días de mora, cada cuota se clasifica en una categoría de riesgo. Los umbrales (mora1, mora2, mora3) son configurables.</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shd w:val="clear" w:fill="1F3A5F"/>
          </w:tcPr>
          <w:p>
            <w:r/>
            <w:r>
              <w:rPr>
                <w:b/>
                <w:color w:val="FFFFFF"/>
                <w:sz w:val="19"/>
              </w:rPr>
              <w:t>Clasificación</w:t>
            </w:r>
          </w:p>
        </w:tc>
        <w:tc>
          <w:tcPr>
            <w:tcW w:type="dxa" w:w="3168"/>
            <w:shd w:val="clear" w:fill="1F3A5F"/>
          </w:tcPr>
          <w:p>
            <w:r/>
            <w:r>
              <w:rPr>
                <w:b/>
                <w:color w:val="FFFFFF"/>
                <w:sz w:val="19"/>
              </w:rPr>
              <w:t>Días de mora</w:t>
            </w:r>
          </w:p>
        </w:tc>
        <w:tc>
          <w:tcPr>
            <w:tcW w:type="dxa" w:w="4320"/>
            <w:shd w:val="clear" w:fill="1F3A5F"/>
          </w:tcPr>
          <w:p>
            <w:r/>
            <w:r>
              <w:rPr>
                <w:b/>
                <w:color w:val="FFFFFF"/>
                <w:sz w:val="19"/>
              </w:rPr>
              <w:t>Significado</w:t>
            </w:r>
          </w:p>
        </w:tc>
      </w:tr>
      <w:tr>
        <w:tc>
          <w:tcPr>
            <w:tcW w:type="dxa" w:w="2160"/>
          </w:tcPr>
          <w:p>
            <w:r/>
            <w:r>
              <w:rPr>
                <w:sz w:val="19"/>
              </w:rPr>
              <w:t>AL DÍA</w:t>
            </w:r>
          </w:p>
        </w:tc>
        <w:tc>
          <w:tcPr>
            <w:tcW w:type="dxa" w:w="3168"/>
          </w:tcPr>
          <w:p>
            <w:r/>
            <w:r>
              <w:rPr>
                <w:sz w:val="19"/>
              </w:rPr>
              <w:t>0 (o dentro de la gracia)</w:t>
            </w:r>
          </w:p>
        </w:tc>
        <w:tc>
          <w:tcPr>
            <w:tcW w:type="dxa" w:w="4320"/>
          </w:tcPr>
          <w:p>
            <w:r/>
            <w:r>
              <w:rPr>
                <w:sz w:val="19"/>
              </w:rPr>
              <w:t>Sin atraso. Cartera vigente.</w:t>
            </w:r>
          </w:p>
        </w:tc>
      </w:tr>
      <w:tr>
        <w:tc>
          <w:tcPr>
            <w:tcW w:type="dxa" w:w="2160"/>
          </w:tcPr>
          <w:p>
            <w:r/>
            <w:r>
              <w:rPr>
                <w:sz w:val="19"/>
              </w:rPr>
              <w:t>MORA 1</w:t>
            </w:r>
          </w:p>
        </w:tc>
        <w:tc>
          <w:tcPr>
            <w:tcW w:type="dxa" w:w="3168"/>
          </w:tcPr>
          <w:p>
            <w:r/>
            <w:r>
              <w:rPr>
                <w:sz w:val="19"/>
              </w:rPr>
              <w:t>1 hasta mora1 (30)</w:t>
            </w:r>
          </w:p>
        </w:tc>
        <w:tc>
          <w:tcPr>
            <w:tcW w:type="dxa" w:w="4320"/>
          </w:tcPr>
          <w:p>
            <w:r/>
            <w:r>
              <w:rPr>
                <w:sz w:val="19"/>
              </w:rPr>
              <w:t>Atraso leve; en gestión de cobro.</w:t>
            </w:r>
          </w:p>
        </w:tc>
      </w:tr>
      <w:tr>
        <w:tc>
          <w:tcPr>
            <w:tcW w:type="dxa" w:w="2160"/>
          </w:tcPr>
          <w:p>
            <w:r/>
            <w:r>
              <w:rPr>
                <w:sz w:val="19"/>
              </w:rPr>
              <w:t>VENCIDO</w:t>
            </w:r>
          </w:p>
        </w:tc>
        <w:tc>
          <w:tcPr>
            <w:tcW w:type="dxa" w:w="3168"/>
          </w:tcPr>
          <w:p>
            <w:r/>
            <w:r>
              <w:rPr>
                <w:sz w:val="19"/>
              </w:rPr>
              <w:t>mora1+1 hasta mora2 (60)</w:t>
            </w:r>
          </w:p>
        </w:tc>
        <w:tc>
          <w:tcPr>
            <w:tcW w:type="dxa" w:w="4320"/>
          </w:tcPr>
          <w:p>
            <w:r/>
            <w:r>
              <w:rPr>
                <w:sz w:val="19"/>
              </w:rPr>
              <w:t>Atraso moderado; alerta temprana.</w:t>
            </w:r>
          </w:p>
        </w:tc>
      </w:tr>
      <w:tr>
        <w:tc>
          <w:tcPr>
            <w:tcW w:type="dxa" w:w="2160"/>
          </w:tcPr>
          <w:p>
            <w:r/>
            <w:r>
              <w:rPr>
                <w:sz w:val="19"/>
              </w:rPr>
              <w:t>VENCIDO 2</w:t>
            </w:r>
          </w:p>
        </w:tc>
        <w:tc>
          <w:tcPr>
            <w:tcW w:type="dxa" w:w="3168"/>
          </w:tcPr>
          <w:p>
            <w:r/>
            <w:r>
              <w:rPr>
                <w:sz w:val="19"/>
              </w:rPr>
              <w:t>mora2+1 hasta mora3 (90)</w:t>
            </w:r>
          </w:p>
        </w:tc>
        <w:tc>
          <w:tcPr>
            <w:tcW w:type="dxa" w:w="4320"/>
          </w:tcPr>
          <w:p>
            <w:r/>
            <w:r>
              <w:rPr>
                <w:sz w:val="19"/>
              </w:rPr>
              <w:t>Atraso significativo; provisión específica.</w:t>
            </w:r>
          </w:p>
        </w:tc>
      </w:tr>
      <w:tr>
        <w:tc>
          <w:tcPr>
            <w:tcW w:type="dxa" w:w="2160"/>
          </w:tcPr>
          <w:p>
            <w:r/>
            <w:r>
              <w:rPr>
                <w:sz w:val="19"/>
              </w:rPr>
              <w:t>CASTIGO</w:t>
            </w:r>
          </w:p>
        </w:tc>
        <w:tc>
          <w:tcPr>
            <w:tcW w:type="dxa" w:w="3168"/>
          </w:tcPr>
          <w:p>
            <w:r/>
            <w:r>
              <w:rPr>
                <w:sz w:val="19"/>
              </w:rPr>
              <w:t>más de mora3 (90)</w:t>
            </w:r>
          </w:p>
        </w:tc>
        <w:tc>
          <w:tcPr>
            <w:tcW w:type="dxa" w:w="4320"/>
          </w:tcPr>
          <w:p>
            <w:r/>
            <w:r>
              <w:rPr>
                <w:sz w:val="19"/>
              </w:rPr>
              <w:t>Incobrable; se castiga / pasa a orden de cobro.</w:t>
            </w:r>
          </w:p>
        </w:tc>
      </w:tr>
    </w:tbl>
    <w:p>
      <w:pPr>
        <w:spacing w:after="40"/>
      </w:pPr>
    </w:p>
    <w:p>
      <w:pPr>
        <w:spacing w:before="40" w:after="160"/>
        <w:ind w:left="432"/>
      </w:pPr>
      <w:r>
        <w:rPr>
          <w:rFonts w:ascii="Consolas" w:hAnsi="Consolas"/>
          <w:color w:val="4A148C"/>
          <w:sz w:val="20"/>
        </w:rPr>
        <w:t>si Dias_mora &lt;= 0           -&gt; AL DIA</w:t>
        <w:br/>
        <w:t>si Dias_mora &lt;= mora1       -&gt; MORA 1</w:t>
        <w:br/>
        <w:t>si Dias_mora &lt;= mora2       -&gt; VENCIDO</w:t>
        <w:br/>
        <w:t>si Dias_mora &lt;= mora3       -&gt; VENCIDO 2</w:t>
        <w:br/>
        <w:t>si Dias_mora &gt;  mora3       -&gt; CASTIGO</w:t>
      </w:r>
    </w:p>
    <w:p>
      <w:pPr>
        <w:pStyle w:val="Heading1"/>
      </w:pPr>
      <w:r>
        <w:rPr>
          <w:color w:val="1F3A5F"/>
        </w:rPr>
        <w:t>14. Cartera activa (143) y cuentas de orden (819)</w:t>
      </w:r>
    </w:p>
    <w:p>
      <w:r>
        <w:t>El punto de quiebre contable es el umbral mora2. Mientras el atraso no lo supere, la cuota está «en orden» contablemente y los rendimientos van a cuentas de activo (grupo 143). Cuando lo supera, los rendimientos y la mora se trasladan a cuentas de orden (grupo 819) y dejan de reconocerse como ingreso realizado, por prudencia.</w:t>
      </w:r>
    </w:p>
    <w:p>
      <w:pPr>
        <w:spacing w:before="40" w:after="160"/>
        <w:ind w:left="432"/>
      </w:pPr>
      <w:r>
        <w:rPr>
          <w:rFonts w:ascii="Consolas" w:hAnsi="Consolas"/>
          <w:color w:val="4A148C"/>
          <w:sz w:val="20"/>
        </w:rPr>
        <w:t>esta_en_orden = Dias_mora &gt; mora2</w:t>
        <w:br/>
        <w:br/>
        <w:t>si NO esta_en_orden:   Rend conv act = Interes_Bs ;  Rend mora act = Mora_Bs</w:t>
        <w:br/>
        <w:t xml:space="preserve">                       Rend conv ord = 0          ;  Rend mora ord = 0</w:t>
        <w:br/>
        <w:t>si SI esta_en_orden:   Rend conv act = 0          ;  Rend mora act = 0</w:t>
        <w:br/>
        <w:t xml:space="preserve">                       Rend conv ord = Interes_Bs ;  Rend mora ord = Mora_Bs</w:t>
      </w:r>
    </w:p>
    <w:p>
      <w:r>
        <w:t>Los indicadores «Moratorio 143» y «Moratorio 819» reflejan ÚNICAMENTE el interés moratorio (la mora), no el rendimiento convencional, que se reporta aparte:</w:t>
      </w:r>
    </w:p>
    <w:p>
      <w:pPr>
        <w:spacing w:before="40" w:after="160"/>
        <w:ind w:left="432"/>
      </w:pPr>
      <w:r>
        <w:rPr>
          <w:rFonts w:ascii="Consolas" w:hAnsi="Consolas"/>
          <w:color w:val="4A148C"/>
          <w:sz w:val="20"/>
        </w:rPr>
        <w:t>Moratorio_143 = Rend mora act   (mora en cartera activa, vigente)</w:t>
        <w:br/>
        <w:t>Moratorio_819 = Rend mora ord   (mora en cuentas de orden)</w:t>
      </w:r>
    </w:p>
    <w:tbl>
      <w:tblPr>
        <w:tblStyle w:val="LightGrid-Accent1"/>
        <w:tblW w:type="auto" w:w="0"/>
        <w:jc w:val="center"/>
        <w:tblLook w:firstColumn="1" w:firstRow="1" w:lastColumn="0" w:lastRow="0" w:noHBand="0" w:noVBand="1" w:val="04A0"/>
      </w:tblPr>
      <w:tblGrid>
        <w:gridCol w:w="3120"/>
        <w:gridCol w:w="3120"/>
        <w:gridCol w:w="3120"/>
      </w:tblGrid>
      <w:tr>
        <w:tc>
          <w:tcPr>
            <w:tcW w:type="dxa" w:w="3312"/>
            <w:shd w:val="clear" w:fill="1F3A5F"/>
          </w:tcPr>
          <w:p>
            <w:r/>
            <w:r>
              <w:rPr>
                <w:b/>
                <w:color w:val="FFFFFF"/>
                <w:sz w:val="19"/>
              </w:rPr>
              <w:t>Condición</w:t>
            </w:r>
          </w:p>
        </w:tc>
        <w:tc>
          <w:tcPr>
            <w:tcW w:type="dxa" w:w="3312"/>
            <w:shd w:val="clear" w:fill="1F3A5F"/>
          </w:tcPr>
          <w:p>
            <w:r/>
            <w:r>
              <w:rPr>
                <w:b/>
                <w:color w:val="FFFFFF"/>
                <w:sz w:val="19"/>
              </w:rPr>
              <w:t>Cuenta de intereses</w:t>
            </w:r>
          </w:p>
        </w:tc>
        <w:tc>
          <w:tcPr>
            <w:tcW w:type="dxa" w:w="3024"/>
            <w:shd w:val="clear" w:fill="1F3A5F"/>
          </w:tcPr>
          <w:p>
            <w:r/>
            <w:r>
              <w:rPr>
                <w:b/>
                <w:color w:val="FFFFFF"/>
                <w:sz w:val="19"/>
              </w:rPr>
              <w:t>Cuenta de mora</w:t>
            </w:r>
          </w:p>
        </w:tc>
      </w:tr>
      <w:tr>
        <w:tc>
          <w:tcPr>
            <w:tcW w:type="dxa" w:w="3312"/>
          </w:tcPr>
          <w:p>
            <w:r/>
            <w:r>
              <w:rPr>
                <w:sz w:val="19"/>
              </w:rPr>
              <w:t>Al día / mora leve (&lt;= mora2)</w:t>
            </w:r>
          </w:p>
        </w:tc>
        <w:tc>
          <w:tcPr>
            <w:tcW w:type="dxa" w:w="3312"/>
          </w:tcPr>
          <w:p>
            <w:r/>
            <w:r>
              <w:rPr>
                <w:sz w:val="19"/>
              </w:rPr>
              <w:t>143.xx Rendimientos por cobrar</w:t>
            </w:r>
          </w:p>
        </w:tc>
        <w:tc>
          <w:tcPr>
            <w:tcW w:type="dxa" w:w="3024"/>
          </w:tcPr>
          <w:p>
            <w:r/>
            <w:r>
              <w:rPr>
                <w:sz w:val="19"/>
              </w:rPr>
              <w:t>143.xx Mora por cobrar</w:t>
            </w:r>
          </w:p>
        </w:tc>
      </w:tr>
      <w:tr>
        <w:tc>
          <w:tcPr>
            <w:tcW w:type="dxa" w:w="3312"/>
          </w:tcPr>
          <w:p>
            <w:r/>
            <w:r>
              <w:rPr>
                <w:sz w:val="19"/>
              </w:rPr>
              <w:t>En orden / castigo (&gt; mora2)</w:t>
            </w:r>
          </w:p>
        </w:tc>
        <w:tc>
          <w:tcPr>
            <w:tcW w:type="dxa" w:w="3312"/>
          </w:tcPr>
          <w:p>
            <w:r/>
            <w:r>
              <w:rPr>
                <w:sz w:val="19"/>
              </w:rPr>
              <w:t>819.xx Rendimientos en orden</w:t>
            </w:r>
          </w:p>
        </w:tc>
        <w:tc>
          <w:tcPr>
            <w:tcW w:type="dxa" w:w="3024"/>
          </w:tcPr>
          <w:p>
            <w:r/>
            <w:r>
              <w:rPr>
                <w:sz w:val="19"/>
              </w:rPr>
              <w:t>819.xx Mora en orden</w:t>
            </w:r>
          </w:p>
        </w:tc>
      </w:tr>
    </w:tbl>
    <w:p>
      <w:pPr>
        <w:spacing w:after="40"/>
      </w:pPr>
    </w:p>
    <w:p>
      <w:pPr>
        <w:pStyle w:val="Heading1"/>
      </w:pPr>
      <w:r>
        <w:rPr>
          <w:color w:val="1F3A5F"/>
        </w:rPr>
        <w:t>15. Congelamiento del crédito vencido</w:t>
      </w:r>
    </w:p>
    <w:p>
      <w:r>
        <w:t>Conforme a la minuta SUDEBAN/BCV/ABV del 17/12/2019, cuando una cuota pasa a «en orden» (supera mora2) el crédito se «congela»:</w:t>
      </w:r>
    </w:p>
    <w:p>
      <w:pPr>
        <w:pStyle w:val="ListBullet"/>
      </w:pPr>
      <w:r>
        <w:t>Deja de someterse a la actualización diaria por IDI en las cuentas reales (Cartera y Patrimonio).</w:t>
      </w:r>
    </w:p>
    <w:p>
      <w:pPr>
        <w:pStyle w:val="ListBullet"/>
      </w:pPr>
      <w:r>
        <w:t>La revalorización de capital y de rendimientos se devenga en cuentas de orden hasta que el cliente pague.</w:t>
      </w:r>
    </w:p>
    <w:p>
      <w:pPr>
        <w:pStyle w:val="ListBullet"/>
      </w:pPr>
      <w:r>
        <w:t>Al cobrarse, se reconoce en resultados/patrimonio; el incremento del capital revaluado se registra en la cuenta patrimonial 358.00 «Variación de Créditos Comerciales».</w:t>
      </w:r>
    </w:p>
    <w:p>
      <w:r>
        <w:t>En el cálculo, la valorización UVC se enruta según la clasificación:</w:t>
      </w:r>
    </w:p>
    <w:p>
      <w:pPr>
        <w:spacing w:before="40" w:after="160"/>
        <w:ind w:left="432"/>
      </w:pPr>
      <w:r>
        <w:rPr>
          <w:rFonts w:ascii="Consolas" w:hAnsi="Consolas"/>
          <w:color w:val="4A148C"/>
          <w:sz w:val="20"/>
        </w:rPr>
        <w:t>vigente (activo):  valorUvcCapitalActive , valorUvcRendActive</w:t>
        <w:br/>
        <w:t>en orden (frozen): valorUvcCapitalOrder  , valorUvcRendOrder</w:t>
      </w:r>
    </w:p>
    <w:p>
      <w:pPr>
        <w:pStyle w:val="Heading1"/>
      </w:pPr>
      <w:r>
        <w:rPr>
          <w:color w:val="1F3A5F"/>
        </w:rPr>
        <w:t>16. Cancelación anticipada y prepagos</w:t>
      </w:r>
    </w:p>
    <w:p>
      <w:r>
        <w:t>Cuando el cliente paga más que la cuota exigible, el excedente se abona a capital (si applyPrepay está activo). El sistema ofrece dos políticas de reconducción del calendario:</w:t>
      </w:r>
    </w:p>
    <w:tbl>
      <w:tblPr>
        <w:tblStyle w:val="LightGrid-Accent1"/>
        <w:tblW w:type="auto" w:w="0"/>
        <w:jc w:val="center"/>
        <w:tblLook w:firstColumn="1" w:firstRow="1" w:lastColumn="0" w:lastRow="0" w:noHBand="0" w:noVBand="1" w:val="04A0"/>
      </w:tblPr>
      <w:tblGrid>
        <w:gridCol w:w="3120"/>
        <w:gridCol w:w="3120"/>
        <w:gridCol w:w="3120"/>
      </w:tblGrid>
      <w:tr>
        <w:tc>
          <w:tcPr>
            <w:tcW w:type="dxa" w:w="2592"/>
            <w:shd w:val="clear" w:fill="1F3A5F"/>
          </w:tcPr>
          <w:p>
            <w:r/>
            <w:r>
              <w:rPr>
                <w:b/>
                <w:color w:val="FFFFFF"/>
                <w:sz w:val="19"/>
              </w:rPr>
              <w:t>Política</w:t>
            </w:r>
          </w:p>
        </w:tc>
        <w:tc>
          <w:tcPr>
            <w:tcW w:type="dxa" w:w="2736"/>
            <w:shd w:val="clear" w:fill="1F3A5F"/>
          </w:tcPr>
          <w:p>
            <w:r/>
            <w:r>
              <w:rPr>
                <w:b/>
                <w:color w:val="FFFFFF"/>
                <w:sz w:val="19"/>
              </w:rPr>
              <w:t>Qué mantiene fijo</w:t>
            </w:r>
          </w:p>
        </w:tc>
        <w:tc>
          <w:tcPr>
            <w:tcW w:type="dxa" w:w="4320"/>
            <w:shd w:val="clear" w:fill="1F3A5F"/>
          </w:tcPr>
          <w:p>
            <w:r/>
            <w:r>
              <w:rPr>
                <w:b/>
                <w:color w:val="FFFFFF"/>
                <w:sz w:val="19"/>
              </w:rPr>
              <w:t>Efecto para el cliente</w:t>
            </w:r>
          </w:p>
        </w:tc>
      </w:tr>
      <w:tr>
        <w:tc>
          <w:tcPr>
            <w:tcW w:type="dxa" w:w="2592"/>
          </w:tcPr>
          <w:p>
            <w:r/>
            <w:r>
              <w:rPr>
                <w:sz w:val="19"/>
              </w:rPr>
              <w:t>reduce_term</w:t>
            </w:r>
          </w:p>
        </w:tc>
        <w:tc>
          <w:tcPr>
            <w:tcW w:type="dxa" w:w="2736"/>
          </w:tcPr>
          <w:p>
            <w:r/>
            <w:r>
              <w:rPr>
                <w:sz w:val="19"/>
              </w:rPr>
              <w:t>La cuota en UVC</w:t>
            </w:r>
          </w:p>
        </w:tc>
        <w:tc>
          <w:tcPr>
            <w:tcW w:type="dxa" w:w="4320"/>
          </w:tcPr>
          <w:p>
            <w:r/>
            <w:r>
              <w:rPr>
                <w:sz w:val="19"/>
              </w:rPr>
              <w:t>Paga la misma cuota pero termina antes (menos cuotas).</w:t>
            </w:r>
          </w:p>
        </w:tc>
      </w:tr>
      <w:tr>
        <w:tc>
          <w:tcPr>
            <w:tcW w:type="dxa" w:w="2592"/>
          </w:tcPr>
          <w:p>
            <w:r/>
            <w:r>
              <w:rPr>
                <w:sz w:val="19"/>
              </w:rPr>
              <w:t>reduce_installment</w:t>
            </w:r>
          </w:p>
        </w:tc>
        <w:tc>
          <w:tcPr>
            <w:tcW w:type="dxa" w:w="2736"/>
          </w:tcPr>
          <w:p>
            <w:r/>
            <w:r>
              <w:rPr>
                <w:sz w:val="19"/>
              </w:rPr>
              <w:t>El plazo restante</w:t>
            </w:r>
          </w:p>
        </w:tc>
        <w:tc>
          <w:tcPr>
            <w:tcW w:type="dxa" w:w="4320"/>
          </w:tcPr>
          <w:p>
            <w:r/>
            <w:r>
              <w:rPr>
                <w:sz w:val="19"/>
              </w:rPr>
              <w:t>La cuota mensual baja; termina en la misma fecha.</w:t>
            </w:r>
          </w:p>
        </w:tc>
      </w:tr>
    </w:tbl>
    <w:p>
      <w:pPr>
        <w:spacing w:after="40"/>
      </w:pPr>
    </w:p>
    <w:p>
      <w:pPr>
        <w:pStyle w:val="Heading2"/>
      </w:pPr>
      <w:r>
        <w:rPr>
          <w:color w:val="2E5A88"/>
        </w:rPr>
        <w:t>16.1 Recálculo tras el prepago</w:t>
      </w:r>
    </w:p>
    <w:p>
      <w:r>
        <w:t>Reducir plazo: se mantiene la cuota y se recalcula cuántas cuotas faltan.</w:t>
      </w:r>
    </w:p>
    <w:p>
      <w:pPr>
        <w:spacing w:before="40" w:after="160"/>
        <w:ind w:left="432"/>
      </w:pPr>
      <w:r>
        <w:rPr>
          <w:rFonts w:ascii="Consolas" w:hAnsi="Consolas"/>
          <w:color w:val="4A148C"/>
          <w:sz w:val="20"/>
        </w:rPr>
        <w:t>n_restante = -ln( 1 - (Saldo_UVC x i) / Cuota_UVC ) / ln(1 + i)</w:t>
        <w:br/>
        <w:t>(redondeado hacia arriba; si la cuota ya cubre el saldo, n_restante = 0)</w:t>
      </w:r>
    </w:p>
    <w:p>
      <w:r>
        <w:t>Reducir cuota: se mantiene el plazo y se recalcula la cuota sobre el nuevo saldo.</w:t>
      </w:r>
    </w:p>
    <w:p>
      <w:pPr>
        <w:spacing w:before="40" w:after="160"/>
        <w:ind w:left="432"/>
      </w:pPr>
      <w:r>
        <w:rPr>
          <w:rFonts w:ascii="Consolas" w:hAnsi="Consolas"/>
          <w:color w:val="4A148C"/>
          <w:sz w:val="20"/>
        </w:rPr>
        <w:t>Nueva_Cuota_UVC = Saldo_UVC x [ i / (1 - (1 + i)^(-n_restante)) ]</w:t>
      </w:r>
    </w:p>
    <w:p>
      <w:pPr>
        <w:pStyle w:val="Heading2"/>
      </w:pPr>
      <w:r>
        <w:rPr>
          <w:color w:val="2E5A88"/>
        </w:rPr>
        <w:t>16.2 Piso de IDI en cancelación anticipada</w:t>
      </w:r>
    </w:p>
    <w:p>
      <w:r>
        <w:t>La Resolución BCV 21-01-02 (Art. 5 lit. b/c y Art. 6) protege al acreedor: si el IDI del día de pago es menor que el IDI de otorgamiento, para calcular el monto a pagar se usa el de otorgamiento. Así el banco recupera al menos el valor nominal en UVC.</w:t>
      </w:r>
    </w:p>
    <w:p>
      <w:pPr>
        <w:spacing w:before="40" w:after="160"/>
        <w:ind w:left="432"/>
      </w:pPr>
      <w:r>
        <w:rPr>
          <w:rFonts w:ascii="Consolas" w:hAnsi="Consolas"/>
          <w:color w:val="4A148C"/>
          <w:sz w:val="20"/>
        </w:rPr>
        <w:t>IDI_efectivo = max( IDI_fecha_pago , IDI_desembolso )</w:t>
      </w:r>
    </w:p>
    <w:tbl>
      <w:tblPr>
        <w:tblW w:type="auto" w:w="0"/>
        <w:jc w:val="center"/>
        <w:tblLook w:firstColumn="1" w:firstRow="1" w:lastColumn="0" w:lastRow="0" w:noHBand="0" w:noVBand="1" w:val="04A0"/>
      </w:tblPr>
      <w:tblGrid>
        <w:gridCol w:w="9360"/>
      </w:tblGrid>
      <w:tr>
        <w:tc>
          <w:tcPr>
            <w:tcW w:type="dxa" w:w="9360"/>
            <w:shd w:val="clear" w:fill="EAF1F8"/>
          </w:tcPr>
          <w:p>
            <w:r>
              <w:rPr>
                <w:b/>
                <w:color w:val="1F3A5F"/>
                <w:sz w:val="20"/>
              </w:rPr>
              <w:t xml:space="preserve">¿Cuándo actúa?  </w:t>
            </w:r>
            <w:r>
              <w:rPr>
                <w:sz w:val="20"/>
              </w:rPr>
              <w:t>solo cuando el IDI cae por debajo del de otorgamiento (escenario de deflación del índice). En el escenario normal de IDI creciente, no cambia nada. La fila marca idiFloorApplied = true cuando el piso se activó.</w:t>
            </w:r>
          </w:p>
        </w:tc>
      </w:tr>
    </w:tbl>
    <w:p>
      <w:pPr>
        <w:spacing w:after="40"/>
      </w:pPr>
    </w:p>
    <w:p>
      <w:pPr>
        <w:pStyle w:val="Heading1"/>
      </w:pPr>
      <w:r>
        <w:rPr>
          <w:color w:val="1F3A5F"/>
        </w:rPr>
        <w:t>17. Asientos contables (paso a paso)</w:t>
      </w:r>
    </w:p>
    <w:p>
      <w:r>
        <w:t>El sistema genera los asientos (ledger) a partir del calendario. Cada asiento cuadra (total Debe = total Haber). Se generan en este orden:</w:t>
      </w:r>
    </w:p>
    <w:p>
      <w:pPr>
        <w:pStyle w:val="Heading2"/>
      </w:pPr>
      <w:r>
        <w:rPr>
          <w:color w:val="2E5A88"/>
        </w:rPr>
        <w:t>17.1 Asiento de desembolso</w:t>
      </w:r>
    </w:p>
    <w:p>
      <w:r>
        <w:t>Al entregar el crédito. El capital se reconoce en la cartera (131.35); el banco entrega el neto (capital menos comisión); la comisión flat es un ingreso.</w:t>
      </w:r>
    </w:p>
    <w:p>
      <w:r>
        <w:rPr>
          <w:b/>
        </w:rPr>
        <w:t>Desembolso del crédito:</w:t>
      </w:r>
    </w:p>
    <w:tbl>
      <w:tblPr>
        <w:tblStyle w:val="LightGrid-Accent1"/>
        <w:tblW w:type="auto" w:w="0"/>
        <w:jc w:val="center"/>
        <w:tblLook w:firstColumn="1" w:firstRow="1" w:lastColumn="0" w:lastRow="0" w:noHBand="0" w:noVBand="1" w:val="04A0"/>
      </w:tblPr>
      <w:tblGrid>
        <w:gridCol w:w="3120"/>
        <w:gridCol w:w="3120"/>
        <w:gridCol w:w="3120"/>
      </w:tblGrid>
      <w:tr>
        <w:tc>
          <w:tcPr>
            <w:tcW w:type="dxa" w:w="6048"/>
            <w:shd w:val="clear" w:fill="1F3A5F"/>
          </w:tcPr>
          <w:p>
            <w:r/>
            <w:r>
              <w:rPr>
                <w:b/>
                <w:color w:val="FFFFFF"/>
                <w:sz w:val="19"/>
              </w:rPr>
              <w:t>Cuenta contable</w:t>
            </w:r>
          </w:p>
        </w:tc>
        <w:tc>
          <w:tcPr>
            <w:tcW w:type="dxa" w:w="1656"/>
            <w:shd w:val="clear" w:fill="1F3A5F"/>
          </w:tcPr>
          <w:p>
            <w:r/>
            <w:r>
              <w:rPr>
                <w:b/>
                <w:color w:val="FFFFFF"/>
                <w:sz w:val="19"/>
              </w:rPr>
              <w:t>Debe</w:t>
            </w:r>
          </w:p>
        </w:tc>
        <w:tc>
          <w:tcPr>
            <w:tcW w:type="dxa" w:w="1656"/>
            <w:shd w:val="clear" w:fill="1F3A5F"/>
          </w:tcPr>
          <w:p>
            <w:r/>
            <w:r>
              <w:rPr>
                <w:b/>
                <w:color w:val="FFFFFF"/>
                <w:sz w:val="19"/>
              </w:rPr>
              <w:t>Haber</w:t>
            </w:r>
          </w:p>
        </w:tc>
      </w:tr>
      <w:tr>
        <w:tc>
          <w:tcPr>
            <w:tcW w:type="dxa" w:w="6048"/>
          </w:tcPr>
          <w:p>
            <w:r/>
            <w:r>
              <w:rPr>
                <w:sz w:val="19"/>
              </w:rPr>
              <w:t>131.35 Créditos comerciales (capital base)</w:t>
            </w:r>
          </w:p>
        </w:tc>
        <w:tc>
          <w:tcPr>
            <w:tcW w:type="dxa" w:w="1656"/>
          </w:tcPr>
          <w:p>
            <w:r/>
            <w:r>
              <w:rPr>
                <w:sz w:val="19"/>
              </w:rPr>
              <w:t>Capital</w:t>
            </w:r>
          </w:p>
        </w:tc>
        <w:tc>
          <w:tcPr>
            <w:tcW w:type="dxa" w:w="1656"/>
          </w:tcPr>
          <w:p>
            <w:r/>
            <w:r>
              <w:rPr>
                <w:sz w:val="19"/>
              </w:rPr>
              <w:t>—</w:t>
            </w:r>
          </w:p>
        </w:tc>
      </w:tr>
      <w:tr>
        <w:tc>
          <w:tcPr>
            <w:tcW w:type="dxa" w:w="6048"/>
          </w:tcPr>
          <w:p>
            <w:r/>
            <w:r>
              <w:rPr>
                <w:sz w:val="19"/>
              </w:rPr>
              <w:t>1110 Banco (efectivo entregado)</w:t>
            </w:r>
          </w:p>
        </w:tc>
        <w:tc>
          <w:tcPr>
            <w:tcW w:type="dxa" w:w="1656"/>
          </w:tcPr>
          <w:p>
            <w:r/>
            <w:r>
              <w:rPr>
                <w:sz w:val="19"/>
              </w:rPr>
              <w:t>—</w:t>
            </w:r>
          </w:p>
        </w:tc>
        <w:tc>
          <w:tcPr>
            <w:tcW w:type="dxa" w:w="1656"/>
          </w:tcPr>
          <w:p>
            <w:r/>
            <w:r>
              <w:rPr>
                <w:sz w:val="19"/>
              </w:rPr>
              <w:t>Neto = Capital - Comisión</w:t>
            </w:r>
          </w:p>
        </w:tc>
      </w:tr>
      <w:tr>
        <w:tc>
          <w:tcPr>
            <w:tcW w:type="dxa" w:w="6048"/>
          </w:tcPr>
          <w:p>
            <w:r/>
            <w:r>
              <w:rPr>
                <w:sz w:val="19"/>
              </w:rPr>
              <w:t>532.00 Comisión flat por desembolso (si &gt; 0)</w:t>
            </w:r>
          </w:p>
        </w:tc>
        <w:tc>
          <w:tcPr>
            <w:tcW w:type="dxa" w:w="1656"/>
          </w:tcPr>
          <w:p>
            <w:r/>
            <w:r>
              <w:rPr>
                <w:sz w:val="19"/>
              </w:rPr>
              <w:t>—</w:t>
            </w:r>
          </w:p>
        </w:tc>
        <w:tc>
          <w:tcPr>
            <w:tcW w:type="dxa" w:w="1656"/>
          </w:tcPr>
          <w:p>
            <w:r/>
            <w:r>
              <w:rPr>
                <w:sz w:val="19"/>
              </w:rPr>
              <w:t>Comisión</w:t>
            </w:r>
          </w:p>
        </w:tc>
      </w:tr>
      <w:tr>
        <w:tc>
          <w:tcPr>
            <w:tcW w:type="dxa" w:w="6048"/>
          </w:tcPr>
          <w:p>
            <w:r/>
            <w:r>
              <w:rPr>
                <w:sz w:val="19"/>
              </w:rPr>
              <w:t>2160 Descuento desembolso (si aplica)</w:t>
            </w:r>
          </w:p>
        </w:tc>
        <w:tc>
          <w:tcPr>
            <w:tcW w:type="dxa" w:w="1656"/>
          </w:tcPr>
          <w:p>
            <w:r/>
            <w:r>
              <w:rPr>
                <w:sz w:val="19"/>
              </w:rPr>
              <w:t>—</w:t>
            </w:r>
          </w:p>
        </w:tc>
        <w:tc>
          <w:tcPr>
            <w:tcW w:type="dxa" w:w="1656"/>
          </w:tcPr>
          <w:p>
            <w:r/>
            <w:r>
              <w:rPr>
                <w:sz w:val="19"/>
              </w:rPr>
              <w:t>Descuento</w:t>
            </w:r>
          </w:p>
        </w:tc>
      </w:tr>
    </w:tbl>
    <w:p>
      <w:pPr>
        <w:spacing w:after="40"/>
      </w:pPr>
    </w:p>
    <w:p>
      <w:pPr>
        <w:pStyle w:val="Heading2"/>
      </w:pPr>
      <w:r>
        <w:rPr>
          <w:color w:val="2E5A88"/>
        </w:rPr>
        <w:t>17.2 Devengo de intereses (cada período)</w:t>
      </w:r>
    </w:p>
    <w:p>
      <w:r>
        <w:t>El rendimiento se separa en componente base (513.01.M.35) y componente por variación / actualización UVC (513.01.M.36). Solo se generan las líneas con monto significativo.</w:t>
      </w:r>
    </w:p>
    <w:p>
      <w:r>
        <w:rPr>
          <w:b/>
        </w:rPr>
        <w:t>Devengo interés cuota k:</w:t>
      </w:r>
    </w:p>
    <w:tbl>
      <w:tblPr>
        <w:tblStyle w:val="LightGrid-Accent1"/>
        <w:tblW w:type="auto" w:w="0"/>
        <w:jc w:val="center"/>
        <w:tblLook w:firstColumn="1" w:firstRow="1" w:lastColumn="0" w:lastRow="0" w:noHBand="0" w:noVBand="1" w:val="04A0"/>
      </w:tblPr>
      <w:tblGrid>
        <w:gridCol w:w="3120"/>
        <w:gridCol w:w="3120"/>
        <w:gridCol w:w="3120"/>
      </w:tblGrid>
      <w:tr>
        <w:tc>
          <w:tcPr>
            <w:tcW w:type="dxa" w:w="6048"/>
            <w:shd w:val="clear" w:fill="1F3A5F"/>
          </w:tcPr>
          <w:p>
            <w:r/>
            <w:r>
              <w:rPr>
                <w:b/>
                <w:color w:val="FFFFFF"/>
                <w:sz w:val="19"/>
              </w:rPr>
              <w:t>Cuenta contable</w:t>
            </w:r>
          </w:p>
        </w:tc>
        <w:tc>
          <w:tcPr>
            <w:tcW w:type="dxa" w:w="1656"/>
            <w:shd w:val="clear" w:fill="1F3A5F"/>
          </w:tcPr>
          <w:p>
            <w:r/>
            <w:r>
              <w:rPr>
                <w:b/>
                <w:color w:val="FFFFFF"/>
                <w:sz w:val="19"/>
              </w:rPr>
              <w:t>Debe</w:t>
            </w:r>
          </w:p>
        </w:tc>
        <w:tc>
          <w:tcPr>
            <w:tcW w:type="dxa" w:w="1656"/>
            <w:shd w:val="clear" w:fill="1F3A5F"/>
          </w:tcPr>
          <w:p>
            <w:r/>
            <w:r>
              <w:rPr>
                <w:b/>
                <w:color w:val="FFFFFF"/>
                <w:sz w:val="19"/>
              </w:rPr>
              <w:t>Haber</w:t>
            </w:r>
          </w:p>
        </w:tc>
      </w:tr>
      <w:tr>
        <w:tc>
          <w:tcPr>
            <w:tcW w:type="dxa" w:w="6048"/>
          </w:tcPr>
          <w:p>
            <w:r/>
            <w:r>
              <w:rPr>
                <w:sz w:val="19"/>
              </w:rPr>
              <w:t>138.00 Rendimientos por cobrar</w:t>
            </w:r>
          </w:p>
        </w:tc>
        <w:tc>
          <w:tcPr>
            <w:tcW w:type="dxa" w:w="1656"/>
          </w:tcPr>
          <w:p>
            <w:r/>
            <w:r>
              <w:rPr>
                <w:sz w:val="19"/>
              </w:rPr>
              <w:t>Interés_Bs</w:t>
            </w:r>
          </w:p>
        </w:tc>
        <w:tc>
          <w:tcPr>
            <w:tcW w:type="dxa" w:w="1656"/>
          </w:tcPr>
          <w:p>
            <w:r/>
            <w:r>
              <w:rPr>
                <w:sz w:val="19"/>
              </w:rPr>
              <w:t>—</w:t>
            </w:r>
          </w:p>
        </w:tc>
      </w:tr>
      <w:tr>
        <w:tc>
          <w:tcPr>
            <w:tcW w:type="dxa" w:w="6048"/>
          </w:tcPr>
          <w:p>
            <w:r/>
            <w:r>
              <w:rPr>
                <w:sz w:val="19"/>
              </w:rPr>
              <w:t>513.01.M.35 Rendimientos por créditos comerciales (base)</w:t>
            </w:r>
          </w:p>
        </w:tc>
        <w:tc>
          <w:tcPr>
            <w:tcW w:type="dxa" w:w="1656"/>
          </w:tcPr>
          <w:p>
            <w:r/>
            <w:r>
              <w:rPr>
                <w:sz w:val="19"/>
              </w:rPr>
              <w:t>—</w:t>
            </w:r>
          </w:p>
        </w:tc>
        <w:tc>
          <w:tcPr>
            <w:tcW w:type="dxa" w:w="1656"/>
          </w:tcPr>
          <w:p>
            <w:r/>
            <w:r>
              <w:rPr>
                <w:sz w:val="19"/>
              </w:rPr>
              <w:t>Interés base</w:t>
            </w:r>
          </w:p>
        </w:tc>
      </w:tr>
      <w:tr>
        <w:tc>
          <w:tcPr>
            <w:tcW w:type="dxa" w:w="6048"/>
          </w:tcPr>
          <w:p>
            <w:r/>
            <w:r>
              <w:rPr>
                <w:sz w:val="19"/>
              </w:rPr>
              <w:t>513.01.M.36 Rendimientos por variación (actualización)</w:t>
            </w:r>
          </w:p>
        </w:tc>
        <w:tc>
          <w:tcPr>
            <w:tcW w:type="dxa" w:w="1656"/>
          </w:tcPr>
          <w:p>
            <w:r/>
            <w:r>
              <w:rPr>
                <w:sz w:val="19"/>
              </w:rPr>
              <w:t>—</w:t>
            </w:r>
          </w:p>
        </w:tc>
        <w:tc>
          <w:tcPr>
            <w:tcW w:type="dxa" w:w="1656"/>
          </w:tcPr>
          <w:p>
            <w:r/>
            <w:r>
              <w:rPr>
                <w:sz w:val="19"/>
              </w:rPr>
              <w:t>Interés variación</w:t>
            </w:r>
          </w:p>
        </w:tc>
      </w:tr>
    </w:tbl>
    <w:p>
      <w:pPr>
        <w:spacing w:after="40"/>
      </w:pPr>
    </w:p>
    <w:p>
      <w:pPr>
        <w:pStyle w:val="Heading2"/>
      </w:pPr>
      <w:r>
        <w:rPr>
          <w:color w:val="2E5A88"/>
        </w:rPr>
        <w:t>17.3 Variación de capital (actualización por IDI)</w:t>
      </w:r>
    </w:p>
    <w:p>
      <w:r>
        <w:t>Registra el cambio de valor del capital amortizado por efecto del IDI. Si la variación es positiva (IDI sube) se carga 131.36 contra 358.01; si es negativa, se invierte el asiento.</w:t>
      </w:r>
    </w:p>
    <w:p>
      <w:r>
        <w:rPr>
          <w:b/>
        </w:rPr>
        <w:t>Variación de capital - incremento (IDI sube):</w:t>
      </w:r>
    </w:p>
    <w:tbl>
      <w:tblPr>
        <w:tblStyle w:val="LightGrid-Accent1"/>
        <w:tblW w:type="auto" w:w="0"/>
        <w:jc w:val="center"/>
        <w:tblLook w:firstColumn="1" w:firstRow="1" w:lastColumn="0" w:lastRow="0" w:noHBand="0" w:noVBand="1" w:val="04A0"/>
      </w:tblPr>
      <w:tblGrid>
        <w:gridCol w:w="3120"/>
        <w:gridCol w:w="3120"/>
        <w:gridCol w:w="3120"/>
      </w:tblGrid>
      <w:tr>
        <w:tc>
          <w:tcPr>
            <w:tcW w:type="dxa" w:w="6048"/>
            <w:shd w:val="clear" w:fill="1F3A5F"/>
          </w:tcPr>
          <w:p>
            <w:r/>
            <w:r>
              <w:rPr>
                <w:b/>
                <w:color w:val="FFFFFF"/>
                <w:sz w:val="19"/>
              </w:rPr>
              <w:t>Cuenta contable</w:t>
            </w:r>
          </w:p>
        </w:tc>
        <w:tc>
          <w:tcPr>
            <w:tcW w:type="dxa" w:w="1656"/>
            <w:shd w:val="clear" w:fill="1F3A5F"/>
          </w:tcPr>
          <w:p>
            <w:r/>
            <w:r>
              <w:rPr>
                <w:b/>
                <w:color w:val="FFFFFF"/>
                <w:sz w:val="19"/>
              </w:rPr>
              <w:t>Debe</w:t>
            </w:r>
          </w:p>
        </w:tc>
        <w:tc>
          <w:tcPr>
            <w:tcW w:type="dxa" w:w="1656"/>
            <w:shd w:val="clear" w:fill="1F3A5F"/>
          </w:tcPr>
          <w:p>
            <w:r/>
            <w:r>
              <w:rPr>
                <w:b/>
                <w:color w:val="FFFFFF"/>
                <w:sz w:val="19"/>
              </w:rPr>
              <w:t>Haber</w:t>
            </w:r>
          </w:p>
        </w:tc>
      </w:tr>
      <w:tr>
        <w:tc>
          <w:tcPr>
            <w:tcW w:type="dxa" w:w="6048"/>
          </w:tcPr>
          <w:p>
            <w:r/>
            <w:r>
              <w:rPr>
                <w:sz w:val="19"/>
              </w:rPr>
              <w:t>131.36 Variación de créditos comerciales</w:t>
            </w:r>
          </w:p>
        </w:tc>
        <w:tc>
          <w:tcPr>
            <w:tcW w:type="dxa" w:w="1656"/>
          </w:tcPr>
          <w:p>
            <w:r/>
            <w:r>
              <w:rPr>
                <w:sz w:val="19"/>
              </w:rPr>
              <w:t>Val. capital</w:t>
            </w:r>
          </w:p>
        </w:tc>
        <w:tc>
          <w:tcPr>
            <w:tcW w:type="dxa" w:w="1656"/>
          </w:tcPr>
          <w:p>
            <w:r/>
            <w:r>
              <w:rPr>
                <w:sz w:val="19"/>
              </w:rPr>
              <w:t>—</w:t>
            </w:r>
          </w:p>
        </w:tc>
      </w:tr>
      <w:tr>
        <w:tc>
          <w:tcPr>
            <w:tcW w:type="dxa" w:w="6048"/>
          </w:tcPr>
          <w:p>
            <w:r/>
            <w:r>
              <w:rPr>
                <w:sz w:val="19"/>
              </w:rPr>
              <w:t>358.01 Variación de créditos comerciales (patrimonio)</w:t>
            </w:r>
          </w:p>
        </w:tc>
        <w:tc>
          <w:tcPr>
            <w:tcW w:type="dxa" w:w="1656"/>
          </w:tcPr>
          <w:p>
            <w:r/>
            <w:r>
              <w:rPr>
                <w:sz w:val="19"/>
              </w:rPr>
              <w:t>—</w:t>
            </w:r>
          </w:p>
        </w:tc>
        <w:tc>
          <w:tcPr>
            <w:tcW w:type="dxa" w:w="1656"/>
          </w:tcPr>
          <w:p>
            <w:r/>
            <w:r>
              <w:rPr>
                <w:sz w:val="19"/>
              </w:rPr>
              <w:t>Val. capital</w:t>
            </w:r>
          </w:p>
        </w:tc>
      </w:tr>
    </w:tbl>
    <w:p>
      <w:pPr>
        <w:spacing w:after="40"/>
      </w:pPr>
    </w:p>
    <w:p>
      <w:r>
        <w:rPr>
          <w:b/>
        </w:rPr>
        <w:t>Variación de capital - disminución (IDI baja):</w:t>
      </w:r>
    </w:p>
    <w:tbl>
      <w:tblPr>
        <w:tblStyle w:val="LightGrid-Accent1"/>
        <w:tblW w:type="auto" w:w="0"/>
        <w:jc w:val="center"/>
        <w:tblLook w:firstColumn="1" w:firstRow="1" w:lastColumn="0" w:lastRow="0" w:noHBand="0" w:noVBand="1" w:val="04A0"/>
      </w:tblPr>
      <w:tblGrid>
        <w:gridCol w:w="3120"/>
        <w:gridCol w:w="3120"/>
        <w:gridCol w:w="3120"/>
      </w:tblGrid>
      <w:tr>
        <w:tc>
          <w:tcPr>
            <w:tcW w:type="dxa" w:w="6048"/>
            <w:shd w:val="clear" w:fill="1F3A5F"/>
          </w:tcPr>
          <w:p>
            <w:r/>
            <w:r>
              <w:rPr>
                <w:b/>
                <w:color w:val="FFFFFF"/>
                <w:sz w:val="19"/>
              </w:rPr>
              <w:t>Cuenta contable</w:t>
            </w:r>
          </w:p>
        </w:tc>
        <w:tc>
          <w:tcPr>
            <w:tcW w:type="dxa" w:w="1656"/>
            <w:shd w:val="clear" w:fill="1F3A5F"/>
          </w:tcPr>
          <w:p>
            <w:r/>
            <w:r>
              <w:rPr>
                <w:b/>
                <w:color w:val="FFFFFF"/>
                <w:sz w:val="19"/>
              </w:rPr>
              <w:t>Debe</w:t>
            </w:r>
          </w:p>
        </w:tc>
        <w:tc>
          <w:tcPr>
            <w:tcW w:type="dxa" w:w="1656"/>
            <w:shd w:val="clear" w:fill="1F3A5F"/>
          </w:tcPr>
          <w:p>
            <w:r/>
            <w:r>
              <w:rPr>
                <w:b/>
                <w:color w:val="FFFFFF"/>
                <w:sz w:val="19"/>
              </w:rPr>
              <w:t>Haber</w:t>
            </w:r>
          </w:p>
        </w:tc>
      </w:tr>
      <w:tr>
        <w:tc>
          <w:tcPr>
            <w:tcW w:type="dxa" w:w="6048"/>
          </w:tcPr>
          <w:p>
            <w:r/>
            <w:r>
              <w:rPr>
                <w:sz w:val="19"/>
              </w:rPr>
              <w:t>358.01 Variación de créditos comerciales (patrimonio)</w:t>
            </w:r>
          </w:p>
        </w:tc>
        <w:tc>
          <w:tcPr>
            <w:tcW w:type="dxa" w:w="1656"/>
          </w:tcPr>
          <w:p>
            <w:r/>
            <w:r>
              <w:rPr>
                <w:sz w:val="19"/>
              </w:rPr>
              <w:t>Val. capital</w:t>
            </w:r>
          </w:p>
        </w:tc>
        <w:tc>
          <w:tcPr>
            <w:tcW w:type="dxa" w:w="1656"/>
          </w:tcPr>
          <w:p>
            <w:r/>
            <w:r>
              <w:rPr>
                <w:sz w:val="19"/>
              </w:rPr>
              <w:t>—</w:t>
            </w:r>
          </w:p>
        </w:tc>
      </w:tr>
      <w:tr>
        <w:tc>
          <w:tcPr>
            <w:tcW w:type="dxa" w:w="6048"/>
          </w:tcPr>
          <w:p>
            <w:r/>
            <w:r>
              <w:rPr>
                <w:sz w:val="19"/>
              </w:rPr>
              <w:t>131.36 Variación de créditos comerciales</w:t>
            </w:r>
          </w:p>
        </w:tc>
        <w:tc>
          <w:tcPr>
            <w:tcW w:type="dxa" w:w="1656"/>
          </w:tcPr>
          <w:p>
            <w:r/>
            <w:r>
              <w:rPr>
                <w:sz w:val="19"/>
              </w:rPr>
              <w:t>—</w:t>
            </w:r>
          </w:p>
        </w:tc>
        <w:tc>
          <w:tcPr>
            <w:tcW w:type="dxa" w:w="1656"/>
          </w:tcPr>
          <w:p>
            <w:r/>
            <w:r>
              <w:rPr>
                <w:sz w:val="19"/>
              </w:rPr>
              <w:t>Val. capital</w:t>
            </w:r>
          </w:p>
        </w:tc>
      </w:tr>
    </w:tbl>
    <w:p>
      <w:pPr>
        <w:spacing w:after="40"/>
      </w:pPr>
    </w:p>
    <w:p>
      <w:pPr>
        <w:pStyle w:val="Heading2"/>
      </w:pPr>
      <w:r>
        <w:rPr>
          <w:color w:val="2E5A88"/>
        </w:rPr>
        <w:t>17.4 Devengo de mora (si aplica)</w:t>
      </w:r>
    </w:p>
    <w:p>
      <w:r>
        <w:rPr>
          <w:b/>
        </w:rPr>
        <w:t>Devengo mora cuota k:</w:t>
      </w:r>
    </w:p>
    <w:tbl>
      <w:tblPr>
        <w:tblStyle w:val="LightGrid-Accent1"/>
        <w:tblW w:type="auto" w:w="0"/>
        <w:jc w:val="center"/>
        <w:tblLook w:firstColumn="1" w:firstRow="1" w:lastColumn="0" w:lastRow="0" w:noHBand="0" w:noVBand="1" w:val="04A0"/>
      </w:tblPr>
      <w:tblGrid>
        <w:gridCol w:w="3120"/>
        <w:gridCol w:w="3120"/>
        <w:gridCol w:w="3120"/>
      </w:tblGrid>
      <w:tr>
        <w:tc>
          <w:tcPr>
            <w:tcW w:type="dxa" w:w="6048"/>
            <w:shd w:val="clear" w:fill="1F3A5F"/>
          </w:tcPr>
          <w:p>
            <w:r/>
            <w:r>
              <w:rPr>
                <w:b/>
                <w:color w:val="FFFFFF"/>
                <w:sz w:val="19"/>
              </w:rPr>
              <w:t>Cuenta contable</w:t>
            </w:r>
          </w:p>
        </w:tc>
        <w:tc>
          <w:tcPr>
            <w:tcW w:type="dxa" w:w="1656"/>
            <w:shd w:val="clear" w:fill="1F3A5F"/>
          </w:tcPr>
          <w:p>
            <w:r/>
            <w:r>
              <w:rPr>
                <w:b/>
                <w:color w:val="FFFFFF"/>
                <w:sz w:val="19"/>
              </w:rPr>
              <w:t>Debe</w:t>
            </w:r>
          </w:p>
        </w:tc>
        <w:tc>
          <w:tcPr>
            <w:tcW w:type="dxa" w:w="1656"/>
            <w:shd w:val="clear" w:fill="1F3A5F"/>
          </w:tcPr>
          <w:p>
            <w:r/>
            <w:r>
              <w:rPr>
                <w:b/>
                <w:color w:val="FFFFFF"/>
                <w:sz w:val="19"/>
              </w:rPr>
              <w:t>Haber</w:t>
            </w:r>
          </w:p>
        </w:tc>
      </w:tr>
      <w:tr>
        <w:tc>
          <w:tcPr>
            <w:tcW w:type="dxa" w:w="6048"/>
          </w:tcPr>
          <w:p>
            <w:r/>
            <w:r>
              <w:rPr>
                <w:sz w:val="19"/>
              </w:rPr>
              <w:t>138.00 Rendimientos por cobrar - mora</w:t>
            </w:r>
          </w:p>
        </w:tc>
        <w:tc>
          <w:tcPr>
            <w:tcW w:type="dxa" w:w="1656"/>
          </w:tcPr>
          <w:p>
            <w:r/>
            <w:r>
              <w:rPr>
                <w:sz w:val="19"/>
              </w:rPr>
              <w:t>Mora_Bs</w:t>
            </w:r>
          </w:p>
        </w:tc>
        <w:tc>
          <w:tcPr>
            <w:tcW w:type="dxa" w:w="1656"/>
          </w:tcPr>
          <w:p>
            <w:r/>
            <w:r>
              <w:rPr>
                <w:sz w:val="19"/>
              </w:rPr>
              <w:t>—</w:t>
            </w:r>
          </w:p>
        </w:tc>
      </w:tr>
      <w:tr>
        <w:tc>
          <w:tcPr>
            <w:tcW w:type="dxa" w:w="6048"/>
          </w:tcPr>
          <w:p>
            <w:r/>
            <w:r>
              <w:rPr>
                <w:sz w:val="19"/>
              </w:rPr>
              <w:t>513.01.M.35 Ingresos por mora</w:t>
            </w:r>
          </w:p>
        </w:tc>
        <w:tc>
          <w:tcPr>
            <w:tcW w:type="dxa" w:w="1656"/>
          </w:tcPr>
          <w:p>
            <w:r/>
            <w:r>
              <w:rPr>
                <w:sz w:val="19"/>
              </w:rPr>
              <w:t>—</w:t>
            </w:r>
          </w:p>
        </w:tc>
        <w:tc>
          <w:tcPr>
            <w:tcW w:type="dxa" w:w="1656"/>
          </w:tcPr>
          <w:p>
            <w:r/>
            <w:r>
              <w:rPr>
                <w:sz w:val="19"/>
              </w:rPr>
              <w:t>Mora_Bs</w:t>
            </w:r>
          </w:p>
        </w:tc>
      </w:tr>
    </w:tbl>
    <w:p>
      <w:pPr>
        <w:spacing w:after="40"/>
      </w:pPr>
    </w:p>
    <w:p>
      <w:pPr>
        <w:pStyle w:val="Heading2"/>
      </w:pPr>
      <w:r>
        <w:rPr>
          <w:color w:val="2E5A88"/>
        </w:rPr>
        <w:t>17.5 Cobro de la cuota</w:t>
      </w:r>
    </w:p>
    <w:p>
      <w:r>
        <w:t>Cuando entra el pago, el banco recibe efectivo y se cancelan, en orden, mora, intereses y capital (incluido el prepago).</w:t>
      </w:r>
    </w:p>
    <w:p>
      <w:r>
        <w:rPr>
          <w:b/>
        </w:rPr>
        <w:t>Pago cuota k:</w:t>
      </w:r>
    </w:p>
    <w:tbl>
      <w:tblPr>
        <w:tblStyle w:val="LightGrid-Accent1"/>
        <w:tblW w:type="auto" w:w="0"/>
        <w:jc w:val="center"/>
        <w:tblLook w:firstColumn="1" w:firstRow="1" w:lastColumn="0" w:lastRow="0" w:noHBand="0" w:noVBand="1" w:val="04A0"/>
      </w:tblPr>
      <w:tblGrid>
        <w:gridCol w:w="3120"/>
        <w:gridCol w:w="3120"/>
        <w:gridCol w:w="3120"/>
      </w:tblGrid>
      <w:tr>
        <w:tc>
          <w:tcPr>
            <w:tcW w:type="dxa" w:w="6048"/>
            <w:shd w:val="clear" w:fill="1F3A5F"/>
          </w:tcPr>
          <w:p>
            <w:r/>
            <w:r>
              <w:rPr>
                <w:b/>
                <w:color w:val="FFFFFF"/>
                <w:sz w:val="19"/>
              </w:rPr>
              <w:t>Cuenta contable</w:t>
            </w:r>
          </w:p>
        </w:tc>
        <w:tc>
          <w:tcPr>
            <w:tcW w:type="dxa" w:w="1656"/>
            <w:shd w:val="clear" w:fill="1F3A5F"/>
          </w:tcPr>
          <w:p>
            <w:r/>
            <w:r>
              <w:rPr>
                <w:b/>
                <w:color w:val="FFFFFF"/>
                <w:sz w:val="19"/>
              </w:rPr>
              <w:t>Debe</w:t>
            </w:r>
          </w:p>
        </w:tc>
        <w:tc>
          <w:tcPr>
            <w:tcW w:type="dxa" w:w="1656"/>
            <w:shd w:val="clear" w:fill="1F3A5F"/>
          </w:tcPr>
          <w:p>
            <w:r/>
            <w:r>
              <w:rPr>
                <w:b/>
                <w:color w:val="FFFFFF"/>
                <w:sz w:val="19"/>
              </w:rPr>
              <w:t>Haber</w:t>
            </w:r>
          </w:p>
        </w:tc>
      </w:tr>
      <w:tr>
        <w:tc>
          <w:tcPr>
            <w:tcW w:type="dxa" w:w="6048"/>
          </w:tcPr>
          <w:p>
            <w:r/>
            <w:r>
              <w:rPr>
                <w:sz w:val="19"/>
              </w:rPr>
              <w:t>1110 Banco</w:t>
            </w:r>
          </w:p>
        </w:tc>
        <w:tc>
          <w:tcPr>
            <w:tcW w:type="dxa" w:w="1656"/>
          </w:tcPr>
          <w:p>
            <w:r/>
            <w:r>
              <w:rPr>
                <w:sz w:val="19"/>
              </w:rPr>
              <w:t>Pago recibido</w:t>
            </w:r>
          </w:p>
        </w:tc>
        <w:tc>
          <w:tcPr>
            <w:tcW w:type="dxa" w:w="1656"/>
          </w:tcPr>
          <w:p>
            <w:r/>
            <w:r>
              <w:rPr>
                <w:sz w:val="19"/>
              </w:rPr>
              <w:t>—</w:t>
            </w:r>
          </w:p>
        </w:tc>
      </w:tr>
      <w:tr>
        <w:tc>
          <w:tcPr>
            <w:tcW w:type="dxa" w:w="6048"/>
          </w:tcPr>
          <w:p>
            <w:r/>
            <w:r>
              <w:rPr>
                <w:sz w:val="19"/>
              </w:rPr>
              <w:t>138.00 Mora por cobrar (si pagó mora)</w:t>
            </w:r>
          </w:p>
        </w:tc>
        <w:tc>
          <w:tcPr>
            <w:tcW w:type="dxa" w:w="1656"/>
          </w:tcPr>
          <w:p>
            <w:r/>
            <w:r>
              <w:rPr>
                <w:sz w:val="19"/>
              </w:rPr>
              <w:t>—</w:t>
            </w:r>
          </w:p>
        </w:tc>
        <w:tc>
          <w:tcPr>
            <w:tcW w:type="dxa" w:w="1656"/>
          </w:tcPr>
          <w:p>
            <w:r/>
            <w:r>
              <w:rPr>
                <w:sz w:val="19"/>
              </w:rPr>
              <w:t>Mora pagada</w:t>
            </w:r>
          </w:p>
        </w:tc>
      </w:tr>
      <w:tr>
        <w:tc>
          <w:tcPr>
            <w:tcW w:type="dxa" w:w="6048"/>
          </w:tcPr>
          <w:p>
            <w:r/>
            <w:r>
              <w:rPr>
                <w:sz w:val="19"/>
              </w:rPr>
              <w:t>138.00 Rendimientos por cobrar (si pagó interés)</w:t>
            </w:r>
          </w:p>
        </w:tc>
        <w:tc>
          <w:tcPr>
            <w:tcW w:type="dxa" w:w="1656"/>
          </w:tcPr>
          <w:p>
            <w:r/>
            <w:r>
              <w:rPr>
                <w:sz w:val="19"/>
              </w:rPr>
              <w:t>—</w:t>
            </w:r>
          </w:p>
        </w:tc>
        <w:tc>
          <w:tcPr>
            <w:tcW w:type="dxa" w:w="1656"/>
          </w:tcPr>
          <w:p>
            <w:r/>
            <w:r>
              <w:rPr>
                <w:sz w:val="19"/>
              </w:rPr>
              <w:t>Interés pagado</w:t>
            </w:r>
          </w:p>
        </w:tc>
      </w:tr>
      <w:tr>
        <w:tc>
          <w:tcPr>
            <w:tcW w:type="dxa" w:w="6048"/>
          </w:tcPr>
          <w:p>
            <w:r/>
            <w:r>
              <w:rPr>
                <w:sz w:val="19"/>
              </w:rPr>
              <w:t>131.35 Créditos comerciales (capital + prepago)</w:t>
            </w:r>
          </w:p>
        </w:tc>
        <w:tc>
          <w:tcPr>
            <w:tcW w:type="dxa" w:w="1656"/>
          </w:tcPr>
          <w:p>
            <w:r/>
            <w:r>
              <w:rPr>
                <w:sz w:val="19"/>
              </w:rPr>
              <w:t>—</w:t>
            </w:r>
          </w:p>
        </w:tc>
        <w:tc>
          <w:tcPr>
            <w:tcW w:type="dxa" w:w="1656"/>
          </w:tcPr>
          <w:p>
            <w:r/>
            <w:r>
              <w:rPr>
                <w:sz w:val="19"/>
              </w:rPr>
              <w:t>Capital pagado</w:t>
            </w:r>
          </w:p>
        </w:tc>
      </w:tr>
    </w:tbl>
    <w:p>
      <w:pPr>
        <w:spacing w:after="40"/>
      </w:pPr>
    </w:p>
    <w:p>
      <w:pPr>
        <w:pStyle w:val="Heading1"/>
      </w:pPr>
      <w:r>
        <w:rPr>
          <w:color w:val="1F3A5F"/>
        </w:rPr>
        <w:t>18. Plan de cuentas SUDEBAN utilizado</w:t>
      </w:r>
    </w:p>
    <w:p>
      <w:r>
        <w:t>Códigos del Manual de Contabilidad para Instituciones Bancarias (modificación del 28/10/2019). Las cuentas son configurables por crédito.</w:t>
      </w:r>
    </w:p>
    <w:tbl>
      <w:tblPr>
        <w:tblStyle w:val="LightGrid-Accent1"/>
        <w:tblW w:type="auto" w:w="0"/>
        <w:jc w:val="center"/>
        <w:tblLook w:firstColumn="1" w:firstRow="1" w:lastColumn="0" w:lastRow="0" w:noHBand="0" w:noVBand="1" w:val="04A0"/>
      </w:tblPr>
      <w:tblGrid>
        <w:gridCol w:w="3120"/>
        <w:gridCol w:w="3120"/>
        <w:gridCol w:w="3120"/>
      </w:tblGrid>
      <w:tr>
        <w:tc>
          <w:tcPr>
            <w:tcW w:type="dxa" w:w="1728"/>
            <w:shd w:val="clear" w:fill="1F3A5F"/>
          </w:tcPr>
          <w:p>
            <w:r/>
            <w:r>
              <w:rPr>
                <w:b/>
                <w:color w:val="FFFFFF"/>
                <w:sz w:val="18"/>
              </w:rPr>
              <w:t>Código</w:t>
            </w:r>
          </w:p>
        </w:tc>
        <w:tc>
          <w:tcPr>
            <w:tcW w:type="dxa" w:w="5184"/>
            <w:shd w:val="clear" w:fill="1F3A5F"/>
          </w:tcPr>
          <w:p>
            <w:r/>
            <w:r>
              <w:rPr>
                <w:b/>
                <w:color w:val="FFFFFF"/>
                <w:sz w:val="18"/>
              </w:rPr>
              <w:t>Nombre</w:t>
            </w:r>
          </w:p>
        </w:tc>
        <w:tc>
          <w:tcPr>
            <w:tcW w:type="dxa" w:w="2736"/>
            <w:shd w:val="clear" w:fill="1F3A5F"/>
          </w:tcPr>
          <w:p>
            <w:r/>
            <w:r>
              <w:rPr>
                <w:b/>
                <w:color w:val="FFFFFF"/>
                <w:sz w:val="18"/>
              </w:rPr>
              <w:t>Uso</w:t>
            </w:r>
          </w:p>
        </w:tc>
      </w:tr>
      <w:tr>
        <w:tc>
          <w:tcPr>
            <w:tcW w:type="dxa" w:w="1728"/>
          </w:tcPr>
          <w:p>
            <w:r/>
            <w:r>
              <w:rPr>
                <w:sz w:val="18"/>
              </w:rPr>
              <w:t>1110</w:t>
            </w:r>
          </w:p>
        </w:tc>
        <w:tc>
          <w:tcPr>
            <w:tcW w:type="dxa" w:w="5184"/>
          </w:tcPr>
          <w:p>
            <w:r/>
            <w:r>
              <w:rPr>
                <w:sz w:val="18"/>
              </w:rPr>
              <w:t>Banco</w:t>
            </w:r>
          </w:p>
        </w:tc>
        <w:tc>
          <w:tcPr>
            <w:tcW w:type="dxa" w:w="2736"/>
          </w:tcPr>
          <w:p>
            <w:r/>
            <w:r>
              <w:rPr>
                <w:sz w:val="18"/>
              </w:rPr>
              <w:t>Efectivo entregado / recibido</w:t>
            </w:r>
          </w:p>
        </w:tc>
      </w:tr>
      <w:tr>
        <w:tc>
          <w:tcPr>
            <w:tcW w:type="dxa" w:w="1728"/>
          </w:tcPr>
          <w:p>
            <w:r/>
            <w:r>
              <w:rPr>
                <w:sz w:val="18"/>
              </w:rPr>
              <w:t>131.35</w:t>
            </w:r>
          </w:p>
        </w:tc>
        <w:tc>
          <w:tcPr>
            <w:tcW w:type="dxa" w:w="5184"/>
          </w:tcPr>
          <w:p>
            <w:r/>
            <w:r>
              <w:rPr>
                <w:sz w:val="18"/>
              </w:rPr>
              <w:t>Créditos comerciales vigentes objeto de las medidas del BCV</w:t>
            </w:r>
          </w:p>
        </w:tc>
        <w:tc>
          <w:tcPr>
            <w:tcW w:type="dxa" w:w="2736"/>
          </w:tcPr>
          <w:p>
            <w:r/>
            <w:r>
              <w:rPr>
                <w:sz w:val="18"/>
              </w:rPr>
              <w:t>Capital base de la cartera</w:t>
            </w:r>
          </w:p>
        </w:tc>
      </w:tr>
      <w:tr>
        <w:tc>
          <w:tcPr>
            <w:tcW w:type="dxa" w:w="1728"/>
          </w:tcPr>
          <w:p>
            <w:r/>
            <w:r>
              <w:rPr>
                <w:sz w:val="18"/>
              </w:rPr>
              <w:t>131.36</w:t>
            </w:r>
          </w:p>
        </w:tc>
        <w:tc>
          <w:tcPr>
            <w:tcW w:type="dxa" w:w="5184"/>
          </w:tcPr>
          <w:p>
            <w:r/>
            <w:r>
              <w:rPr>
                <w:sz w:val="18"/>
              </w:rPr>
              <w:t>Variación de créditos comerciales vigentes (.M.01 incr / .M.02 dism)</w:t>
            </w:r>
          </w:p>
        </w:tc>
        <w:tc>
          <w:tcPr>
            <w:tcW w:type="dxa" w:w="2736"/>
          </w:tcPr>
          <w:p>
            <w:r/>
            <w:r>
              <w:rPr>
                <w:sz w:val="18"/>
              </w:rPr>
              <w:t>Actualización del capital por IDI</w:t>
            </w:r>
          </w:p>
        </w:tc>
      </w:tr>
      <w:tr>
        <w:tc>
          <w:tcPr>
            <w:tcW w:type="dxa" w:w="1728"/>
          </w:tcPr>
          <w:p>
            <w:r/>
            <w:r>
              <w:rPr>
                <w:sz w:val="18"/>
              </w:rPr>
              <w:t>358.01</w:t>
            </w:r>
          </w:p>
        </w:tc>
        <w:tc>
          <w:tcPr>
            <w:tcW w:type="dxa" w:w="5184"/>
          </w:tcPr>
          <w:p>
            <w:r/>
            <w:r>
              <w:rPr>
                <w:sz w:val="18"/>
              </w:rPr>
              <w:t>Variación de créditos comerciales (patrimonio)</w:t>
            </w:r>
          </w:p>
        </w:tc>
        <w:tc>
          <w:tcPr>
            <w:tcW w:type="dxa" w:w="2736"/>
          </w:tcPr>
          <w:p>
            <w:r/>
            <w:r>
              <w:rPr>
                <w:sz w:val="18"/>
              </w:rPr>
              <w:t>Contrapartida patrimonial de la variación</w:t>
            </w:r>
          </w:p>
        </w:tc>
      </w:tr>
      <w:tr>
        <w:tc>
          <w:tcPr>
            <w:tcW w:type="dxa" w:w="1728"/>
          </w:tcPr>
          <w:p>
            <w:r/>
            <w:r>
              <w:rPr>
                <w:sz w:val="18"/>
              </w:rPr>
              <w:t>138.00</w:t>
            </w:r>
          </w:p>
        </w:tc>
        <w:tc>
          <w:tcPr>
            <w:tcW w:type="dxa" w:w="5184"/>
          </w:tcPr>
          <w:p>
            <w:r/>
            <w:r>
              <w:rPr>
                <w:sz w:val="18"/>
              </w:rPr>
              <w:t>Rendimientos por cobrar por créditos comerciales</w:t>
            </w:r>
          </w:p>
        </w:tc>
        <w:tc>
          <w:tcPr>
            <w:tcW w:type="dxa" w:w="2736"/>
          </w:tcPr>
          <w:p>
            <w:r/>
            <w:r>
              <w:rPr>
                <w:sz w:val="18"/>
              </w:rPr>
              <w:t>Intereses y mora por cobrar</w:t>
            </w:r>
          </w:p>
        </w:tc>
      </w:tr>
      <w:tr>
        <w:tc>
          <w:tcPr>
            <w:tcW w:type="dxa" w:w="1728"/>
          </w:tcPr>
          <w:p>
            <w:r/>
            <w:r>
              <w:rPr>
                <w:sz w:val="18"/>
              </w:rPr>
              <w:t>513.01.M.35</w:t>
            </w:r>
          </w:p>
        </w:tc>
        <w:tc>
          <w:tcPr>
            <w:tcW w:type="dxa" w:w="5184"/>
          </w:tcPr>
          <w:p>
            <w:r/>
            <w:r>
              <w:rPr>
                <w:sz w:val="18"/>
              </w:rPr>
              <w:t>Rendimientos por créditos comerciales vigentes</w:t>
            </w:r>
          </w:p>
        </w:tc>
        <w:tc>
          <w:tcPr>
            <w:tcW w:type="dxa" w:w="2736"/>
          </w:tcPr>
          <w:p>
            <w:r/>
            <w:r>
              <w:rPr>
                <w:sz w:val="18"/>
              </w:rPr>
              <w:t>Ingreso por interés (componente base)</w:t>
            </w:r>
          </w:p>
        </w:tc>
      </w:tr>
      <w:tr>
        <w:tc>
          <w:tcPr>
            <w:tcW w:type="dxa" w:w="1728"/>
          </w:tcPr>
          <w:p>
            <w:r/>
            <w:r>
              <w:rPr>
                <w:sz w:val="18"/>
              </w:rPr>
              <w:t>513.01.M.36</w:t>
            </w:r>
          </w:p>
        </w:tc>
        <w:tc>
          <w:tcPr>
            <w:tcW w:type="dxa" w:w="5184"/>
          </w:tcPr>
          <w:p>
            <w:r/>
            <w:r>
              <w:rPr>
                <w:sz w:val="18"/>
              </w:rPr>
              <w:t>Rendimientos por variación de créditos comerciales</w:t>
            </w:r>
          </w:p>
        </w:tc>
        <w:tc>
          <w:tcPr>
            <w:tcW w:type="dxa" w:w="2736"/>
          </w:tcPr>
          <w:p>
            <w:r/>
            <w:r>
              <w:rPr>
                <w:sz w:val="18"/>
              </w:rPr>
              <w:t>Ingreso por actualización UVC</w:t>
            </w:r>
          </w:p>
        </w:tc>
      </w:tr>
      <w:tr>
        <w:tc>
          <w:tcPr>
            <w:tcW w:type="dxa" w:w="1728"/>
          </w:tcPr>
          <w:p>
            <w:r/>
            <w:r>
              <w:rPr>
                <w:sz w:val="18"/>
              </w:rPr>
              <w:t>532.00</w:t>
            </w:r>
          </w:p>
        </w:tc>
        <w:tc>
          <w:tcPr>
            <w:tcW w:type="dxa" w:w="5184"/>
          </w:tcPr>
          <w:p>
            <w:r/>
            <w:r>
              <w:rPr>
                <w:sz w:val="18"/>
              </w:rPr>
              <w:t>Comisiones flat por desembolso (máx. 0,50 %)</w:t>
            </w:r>
          </w:p>
        </w:tc>
        <w:tc>
          <w:tcPr>
            <w:tcW w:type="dxa" w:w="2736"/>
          </w:tcPr>
          <w:p>
            <w:r/>
            <w:r>
              <w:rPr>
                <w:sz w:val="18"/>
              </w:rPr>
              <w:t>Ingreso por comisión flat</w:t>
            </w:r>
          </w:p>
        </w:tc>
      </w:tr>
      <w:tr>
        <w:tc>
          <w:tcPr>
            <w:tcW w:type="dxa" w:w="1728"/>
          </w:tcPr>
          <w:p>
            <w:r/>
            <w:r>
              <w:rPr>
                <w:sz w:val="18"/>
              </w:rPr>
              <w:t>2160</w:t>
            </w:r>
          </w:p>
        </w:tc>
        <w:tc>
          <w:tcPr>
            <w:tcW w:type="dxa" w:w="5184"/>
          </w:tcPr>
          <w:p>
            <w:r/>
            <w:r>
              <w:rPr>
                <w:sz w:val="18"/>
              </w:rPr>
              <w:t>Descuento desembolso</w:t>
            </w:r>
          </w:p>
        </w:tc>
        <w:tc>
          <w:tcPr>
            <w:tcW w:type="dxa" w:w="2736"/>
          </w:tcPr>
          <w:p>
            <w:r/>
            <w:r>
              <w:rPr>
                <w:sz w:val="18"/>
              </w:rPr>
              <w:t>Descuento aplicado al desembolso</w:t>
            </w:r>
          </w:p>
        </w:tc>
      </w:tr>
    </w:tbl>
    <w:p>
      <w:pPr>
        <w:spacing w:after="40"/>
      </w:pPr>
    </w:p>
    <w:p>
      <w:pPr>
        <w:pStyle w:val="Heading1"/>
      </w:pPr>
      <w:r>
        <w:rPr>
          <w:color w:val="1F3A5F"/>
        </w:rPr>
        <w:t>19. Ajuste a días hábiles y feriados</w:t>
      </w:r>
    </w:p>
    <w:p>
      <w:r>
        <w:t>Si adjustToBusinessDay está activo y un vencimiento cae en fin de semana o feriado, se mueve al siguiente día hábil (convención «following»). Esto afecta:</w:t>
      </w:r>
    </w:p>
    <w:p>
      <w:pPr>
        <w:pStyle w:val="ListBullet"/>
      </w:pPr>
      <w:r>
        <w:t>Los días del período (en 30/360 puede dar más de 30 días si hay ajuste).</w:t>
      </w:r>
    </w:p>
    <w:p>
      <w:pPr>
        <w:pStyle w:val="ListBullet"/>
      </w:pPr>
      <w:r>
        <w:t>El IDI aplicado (se usa el del día hábil ajustado).</w:t>
      </w:r>
    </w:p>
    <w:p>
      <w:r>
        <w:t>Los feriados se cargan en una lista configurable (formato AAAA-MM-DD). Se recomienda mantenerla al día con el calendario de días no hábiles bancarios del BCV/SUDEBAN.</w:t>
      </w:r>
    </w:p>
    <w:p>
      <w:pPr>
        <w:pStyle w:val="Heading1"/>
      </w:pPr>
      <w:r>
        <w:rPr>
          <w:color w:val="1F3A5F"/>
        </w:rPr>
        <w:t>20. Comisión flat y cumplimiento regulatorio</w:t>
      </w:r>
    </w:p>
    <w:p>
      <w:r>
        <w:t>La comisión flat de desembolso no puede exceder 0,50 % del monto del crédito. El sistema evalúa el cumplimiento (función evaluateCompliance) y clasifica cada verificación por nivel.</w:t>
      </w:r>
    </w:p>
    <w:tbl>
      <w:tblPr>
        <w:tblStyle w:val="LightGrid-Accent1"/>
        <w:tblW w:type="auto" w:w="0"/>
        <w:jc w:val="center"/>
        <w:tblLook w:firstColumn="1" w:firstRow="1" w:lastColumn="0" w:lastRow="0" w:noHBand="0" w:noVBand="1" w:val="04A0"/>
      </w:tblPr>
      <w:tblGrid>
        <w:gridCol w:w="3120"/>
        <w:gridCol w:w="3120"/>
        <w:gridCol w:w="3120"/>
      </w:tblGrid>
      <w:tr>
        <w:tc>
          <w:tcPr>
            <w:tcW w:type="dxa" w:w="3312"/>
            <w:shd w:val="clear" w:fill="1F3A5F"/>
          </w:tcPr>
          <w:p>
            <w:r/>
            <w:r>
              <w:rPr>
                <w:b/>
                <w:color w:val="FFFFFF"/>
                <w:sz w:val="19"/>
              </w:rPr>
              <w:t>Verificación</w:t>
            </w:r>
          </w:p>
        </w:tc>
        <w:tc>
          <w:tcPr>
            <w:tcW w:type="dxa" w:w="4176"/>
            <w:shd w:val="clear" w:fill="1F3A5F"/>
          </w:tcPr>
          <w:p>
            <w:r/>
            <w:r>
              <w:rPr>
                <w:b/>
                <w:color w:val="FFFFFF"/>
                <w:sz w:val="19"/>
              </w:rPr>
              <w:t>Límite</w:t>
            </w:r>
          </w:p>
        </w:tc>
        <w:tc>
          <w:tcPr>
            <w:tcW w:type="dxa" w:w="2160"/>
            <w:shd w:val="clear" w:fill="1F3A5F"/>
          </w:tcPr>
          <w:p>
            <w:r/>
            <w:r>
              <w:rPr>
                <w:b/>
                <w:color w:val="FFFFFF"/>
                <w:sz w:val="19"/>
              </w:rPr>
              <w:t>Nivel si falla</w:t>
            </w:r>
          </w:p>
        </w:tc>
      </w:tr>
      <w:tr>
        <w:tc>
          <w:tcPr>
            <w:tcW w:type="dxa" w:w="3312"/>
          </w:tcPr>
          <w:p>
            <w:r/>
            <w:r>
              <w:rPr>
                <w:sz w:val="19"/>
              </w:rPr>
              <w:t>Tasa de interés (UVC)</w:t>
            </w:r>
          </w:p>
        </w:tc>
        <w:tc>
          <w:tcPr>
            <w:tcW w:type="dxa" w:w="4176"/>
          </w:tcPr>
          <w:p>
            <w:r/>
            <w:r>
              <w:rPr>
                <w:sz w:val="19"/>
              </w:rPr>
              <w:t>4 % a 10 % (o 2 % Cartera Productiva)</w:t>
            </w:r>
          </w:p>
        </w:tc>
        <w:tc>
          <w:tcPr>
            <w:tcW w:type="dxa" w:w="2160"/>
          </w:tcPr>
          <w:p>
            <w:r/>
            <w:r>
              <w:rPr>
                <w:sz w:val="19"/>
              </w:rPr>
              <w:t>error (bloquea)</w:t>
            </w:r>
          </w:p>
        </w:tc>
      </w:tr>
      <w:tr>
        <w:tc>
          <w:tcPr>
            <w:tcW w:type="dxa" w:w="3312"/>
          </w:tcPr>
          <w:p>
            <w:r/>
            <w:r>
              <w:rPr>
                <w:sz w:val="19"/>
              </w:rPr>
              <w:t>Tasa de mora (UVC)</w:t>
            </w:r>
          </w:p>
        </w:tc>
        <w:tc>
          <w:tcPr>
            <w:tcW w:type="dxa" w:w="4176"/>
          </w:tcPr>
          <w:p>
            <w:r/>
            <w:r>
              <w:rPr>
                <w:sz w:val="19"/>
              </w:rPr>
              <w:t>&lt;= 0,80 % anual adicional</w:t>
            </w:r>
          </w:p>
        </w:tc>
        <w:tc>
          <w:tcPr>
            <w:tcW w:type="dxa" w:w="2160"/>
          </w:tcPr>
          <w:p>
            <w:r/>
            <w:r>
              <w:rPr>
                <w:sz w:val="19"/>
              </w:rPr>
              <w:t>error (bloquea)</w:t>
            </w:r>
          </w:p>
        </w:tc>
      </w:tr>
      <w:tr>
        <w:tc>
          <w:tcPr>
            <w:tcW w:type="dxa" w:w="3312"/>
          </w:tcPr>
          <w:p>
            <w:r/>
            <w:r>
              <w:rPr>
                <w:sz w:val="19"/>
              </w:rPr>
              <w:t>Tasa de mora (no UVC)</w:t>
            </w:r>
          </w:p>
        </w:tc>
        <w:tc>
          <w:tcPr>
            <w:tcW w:type="dxa" w:w="4176"/>
          </w:tcPr>
          <w:p>
            <w:r/>
            <w:r>
              <w:rPr>
                <w:sz w:val="19"/>
              </w:rPr>
              <w:t>&lt;= 3 % anual</w:t>
            </w:r>
          </w:p>
        </w:tc>
        <w:tc>
          <w:tcPr>
            <w:tcW w:type="dxa" w:w="2160"/>
          </w:tcPr>
          <w:p>
            <w:r/>
            <w:r>
              <w:rPr>
                <w:sz w:val="19"/>
              </w:rPr>
              <w:t>error (bloquea)</w:t>
            </w:r>
          </w:p>
        </w:tc>
      </w:tr>
      <w:tr>
        <w:tc>
          <w:tcPr>
            <w:tcW w:type="dxa" w:w="3312"/>
          </w:tcPr>
          <w:p>
            <w:r/>
            <w:r>
              <w:rPr>
                <w:sz w:val="19"/>
              </w:rPr>
              <w:t>Comisión flat</w:t>
            </w:r>
          </w:p>
        </w:tc>
        <w:tc>
          <w:tcPr>
            <w:tcW w:type="dxa" w:w="4176"/>
          </w:tcPr>
          <w:p>
            <w:r/>
            <w:r>
              <w:rPr>
                <w:sz w:val="19"/>
              </w:rPr>
              <w:t>&lt;= 0,50 % del monto</w:t>
            </w:r>
          </w:p>
        </w:tc>
        <w:tc>
          <w:tcPr>
            <w:tcW w:type="dxa" w:w="2160"/>
          </w:tcPr>
          <w:p>
            <w:r/>
            <w:r>
              <w:rPr>
                <w:sz w:val="19"/>
              </w:rPr>
              <w:t>error (bloquea)</w:t>
            </w:r>
          </w:p>
        </w:tc>
      </w:tr>
      <w:tr>
        <w:tc>
          <w:tcPr>
            <w:tcW w:type="dxa" w:w="3312"/>
          </w:tcPr>
          <w:p>
            <w:r/>
            <w:r>
              <w:rPr>
                <w:sz w:val="19"/>
              </w:rPr>
              <w:t>Piso de IDI activo</w:t>
            </w:r>
          </w:p>
        </w:tc>
        <w:tc>
          <w:tcPr>
            <w:tcW w:type="dxa" w:w="4176"/>
          </w:tcPr>
          <w:p>
            <w:r/>
            <w:r>
              <w:rPr>
                <w:sz w:val="19"/>
              </w:rPr>
              <w:t>debe estar activo</w:t>
            </w:r>
          </w:p>
        </w:tc>
        <w:tc>
          <w:tcPr>
            <w:tcW w:type="dxa" w:w="2160"/>
          </w:tcPr>
          <w:p>
            <w:r/>
            <w:r>
              <w:rPr>
                <w:sz w:val="19"/>
              </w:rPr>
              <w:t>warning (no bloquea)</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fill="FCF3E7"/>
          </w:tcPr>
          <w:p>
            <w:r>
              <w:rPr>
                <w:b/>
                <w:color w:val="9A5200"/>
                <w:sz w:val="20"/>
              </w:rPr>
              <w:t xml:space="preserve">Modo referencia / histórico (allowHistoricalRates):  </w:t>
            </w:r>
            <w:r>
              <w:rPr>
                <w:sz w:val="20"/>
              </w:rPr>
              <w:t>cuando está activo, los excesos de tasa de interés y de mora se reportan como ALERTA en vez de bloquear. Sirve para reproducir tablas previas a la Resolución 21-01-02 (por ejemplo, la tabla de referencia con 16 % de interés y 3 % de mora). Al desactivarlo se exigen estrictamente los topes vigentes.</w:t>
            </w:r>
          </w:p>
        </w:tc>
      </w:tr>
    </w:tbl>
    <w:p>
      <w:pPr>
        <w:spacing w:after="40"/>
      </w:pPr>
    </w:p>
    <w:p>
      <w:pPr>
        <w:pStyle w:val="Heading1"/>
      </w:pPr>
      <w:r>
        <w:rPr>
          <w:color w:val="1F3A5F"/>
        </w:rPr>
        <w:t>21. Tasa Interna de Retorno (TIR)</w:t>
      </w:r>
    </w:p>
    <w:p>
      <w:r>
        <w:t>La TIR mide el rendimiento efectivo real del crédito para la institución. Se calcula con los flujos de caja: el neto recibido al inicio (negativo para el banco como salida de efectivo) y los pagos del cliente como entradas. Se resuelve por bisección buscando la tasa que hace el Valor Presente Neto igual a cero, y luego se anualiza:</w:t>
      </w:r>
    </w:p>
    <w:p>
      <w:pPr>
        <w:spacing w:before="40" w:after="160"/>
        <w:ind w:left="432"/>
      </w:pPr>
      <w:r>
        <w:rPr>
          <w:rFonts w:ascii="Consolas" w:hAnsi="Consolas"/>
          <w:color w:val="4A148C"/>
          <w:sz w:val="20"/>
        </w:rPr>
        <w:t>VPN(r) = SUMA [ flujo_i / (1 + r)^i ] = 0   -&gt;  r mensual (biseccion)</w:t>
        <w:br/>
        <w:t>TIR_anual = (1 + r)^12 - 1</w:t>
      </w:r>
    </w:p>
    <w:p>
      <w:r>
        <w:t>Si no hay al menos un flujo positivo y uno negativo, la TIR no está definida (devuelve nulo).</w:t>
      </w:r>
    </w:p>
    <w:p>
      <w:pPr>
        <w:pStyle w:val="Heading1"/>
      </w:pPr>
      <w:r>
        <w:rPr>
          <w:color w:val="1F3A5F"/>
        </w:rPr>
        <w:t>22. Modo libre vs. modo simulación</w:t>
      </w:r>
    </w:p>
    <w:tbl>
      <w:tblPr>
        <w:tblStyle w:val="LightGrid-Accent1"/>
        <w:tblW w:type="auto" w:w="0"/>
        <w:jc w:val="center"/>
        <w:tblLook w:firstColumn="1" w:firstRow="1" w:lastColumn="0" w:lastRow="0" w:noHBand="0" w:noVBand="1" w:val="04A0"/>
      </w:tblPr>
      <w:tblGrid>
        <w:gridCol w:w="4680"/>
        <w:gridCol w:w="4680"/>
      </w:tblGrid>
      <w:tr>
        <w:tc>
          <w:tcPr>
            <w:tcW w:type="dxa" w:w="2016"/>
            <w:shd w:val="clear" w:fill="1F3A5F"/>
          </w:tcPr>
          <w:p>
            <w:r/>
            <w:r>
              <w:rPr>
                <w:b/>
                <w:color w:val="FFFFFF"/>
                <w:sz w:val="19"/>
              </w:rPr>
              <w:t>Modo</w:t>
            </w:r>
          </w:p>
        </w:tc>
        <w:tc>
          <w:tcPr>
            <w:tcW w:type="dxa" w:w="7632"/>
            <w:shd w:val="clear" w:fill="1F3A5F"/>
          </w:tcPr>
          <w:p>
            <w:r/>
            <w:r>
              <w:rPr>
                <w:b/>
                <w:color w:val="FFFFFF"/>
                <w:sz w:val="19"/>
              </w:rPr>
              <w:t>Cómo trata los pagos</w:t>
            </w:r>
          </w:p>
        </w:tc>
      </w:tr>
      <w:tr>
        <w:tc>
          <w:tcPr>
            <w:tcW w:type="dxa" w:w="2016"/>
          </w:tcPr>
          <w:p>
            <w:r/>
            <w:r>
              <w:rPr>
                <w:sz w:val="19"/>
              </w:rPr>
              <w:t>libre</w:t>
            </w:r>
          </w:p>
        </w:tc>
        <w:tc>
          <w:tcPr>
            <w:tcW w:type="dxa" w:w="7632"/>
          </w:tcPr>
          <w:p>
            <w:r/>
            <w:r>
              <w:rPr>
                <w:sz w:val="19"/>
              </w:rPr>
              <w:t>Registro de pagos reales: todos los pagos se aplican siempre, sin importar su fecha.</w:t>
            </w:r>
          </w:p>
        </w:tc>
      </w:tr>
      <w:tr>
        <w:tc>
          <w:tcPr>
            <w:tcW w:type="dxa" w:w="2016"/>
          </w:tcPr>
          <w:p>
            <w:r/>
            <w:r>
              <w:rPr>
                <w:sz w:val="19"/>
              </w:rPr>
              <w:t>simulación</w:t>
            </w:r>
          </w:p>
        </w:tc>
        <w:tc>
          <w:tcPr>
            <w:tcW w:type="dxa" w:w="7632"/>
          </w:tcPr>
          <w:p>
            <w:r/>
            <w:r>
              <w:rPr>
                <w:sz w:val="19"/>
              </w:rPr>
              <w:t>Avanza un «hoy» simulado (asOf = desembolso + simulationDays). Los pagos con fecha posterior a ese «hoy» aún no se reconocen.</w:t>
            </w:r>
          </w:p>
        </w:tc>
      </w:tr>
    </w:tbl>
    <w:p>
      <w:pPr>
        <w:spacing w:after="40"/>
      </w:pPr>
    </w:p>
    <w:p>
      <w:r>
        <w:t>El «hoy» simulado (asOfDate) también define hasta dónde se genera el desglose diario cuando no hay pago registrado.</w:t>
      </w:r>
    </w:p>
    <w:p>
      <w:pPr>
        <w:pStyle w:val="Heading1"/>
      </w:pPr>
      <w:r>
        <w:rPr>
          <w:color w:val="1F3A5F"/>
        </w:rPr>
        <w:t>23. Catálogo de situaciones y escenarios</w:t>
      </w:r>
    </w:p>
    <w:p>
      <w:r>
        <w:t>Resumen de cómo responde el modelo ante distintas situaciones:</w:t>
      </w:r>
    </w:p>
    <w:tbl>
      <w:tblPr>
        <w:tblStyle w:val="LightGrid-Accent1"/>
        <w:tblW w:type="auto" w:w="0"/>
        <w:jc w:val="center"/>
        <w:tblLook w:firstColumn="1" w:firstRow="1" w:lastColumn="0" w:lastRow="0" w:noHBand="0" w:noVBand="1" w:val="04A0"/>
      </w:tblPr>
      <w:tblGrid>
        <w:gridCol w:w="4680"/>
        <w:gridCol w:w="4680"/>
      </w:tblGrid>
      <w:tr>
        <w:tc>
          <w:tcPr>
            <w:tcW w:type="dxa" w:w="3312"/>
            <w:shd w:val="clear" w:fill="1F3A5F"/>
          </w:tcPr>
          <w:p>
            <w:r/>
            <w:r>
              <w:rPr>
                <w:b/>
                <w:color w:val="FFFFFF"/>
                <w:sz w:val="18"/>
              </w:rPr>
              <w:t>Situación</w:t>
            </w:r>
          </w:p>
        </w:tc>
        <w:tc>
          <w:tcPr>
            <w:tcW w:type="dxa" w:w="6336"/>
            <w:shd w:val="clear" w:fill="1F3A5F"/>
          </w:tcPr>
          <w:p>
            <w:r/>
            <w:r>
              <w:rPr>
                <w:b/>
                <w:color w:val="FFFFFF"/>
                <w:sz w:val="18"/>
              </w:rPr>
              <w:t>Comportamiento del modelo</w:t>
            </w:r>
          </w:p>
        </w:tc>
      </w:tr>
      <w:tr>
        <w:tc>
          <w:tcPr>
            <w:tcW w:type="dxa" w:w="3312"/>
          </w:tcPr>
          <w:p>
            <w:r/>
            <w:r>
              <w:rPr>
                <w:sz w:val="18"/>
              </w:rPr>
              <w:t>Pago puntual y completo</w:t>
            </w:r>
          </w:p>
        </w:tc>
        <w:tc>
          <w:tcPr>
            <w:tcW w:type="dxa" w:w="6336"/>
          </w:tcPr>
          <w:p>
            <w:r/>
            <w:r>
              <w:rPr>
                <w:sz w:val="18"/>
              </w:rPr>
              <w:t>No hay mora. Interés + amortización del período; el saldo baja según lo pagado.</w:t>
            </w:r>
          </w:p>
        </w:tc>
      </w:tr>
      <w:tr>
        <w:tc>
          <w:tcPr>
            <w:tcW w:type="dxa" w:w="3312"/>
          </w:tcPr>
          <w:p>
            <w:r/>
            <w:r>
              <w:rPr>
                <w:sz w:val="18"/>
              </w:rPr>
              <w:t>Pago anticipado (antes del vencimiento)</w:t>
            </w:r>
          </w:p>
        </w:tc>
        <w:tc>
          <w:tcPr>
            <w:tcW w:type="dxa" w:w="6336"/>
          </w:tcPr>
          <w:p>
            <w:r/>
            <w:r>
              <w:rPr>
                <w:sz w:val="18"/>
              </w:rPr>
              <w:t>Se marca paidEarly. Si hay excedente, se abona a capital (prepago).</w:t>
            </w:r>
          </w:p>
        </w:tc>
      </w:tr>
      <w:tr>
        <w:tc>
          <w:tcPr>
            <w:tcW w:type="dxa" w:w="3312"/>
          </w:tcPr>
          <w:p>
            <w:r/>
            <w:r>
              <w:rPr>
                <w:sz w:val="18"/>
              </w:rPr>
              <w:t>Pago parcial</w:t>
            </w:r>
          </w:p>
        </w:tc>
        <w:tc>
          <w:tcPr>
            <w:tcW w:type="dxa" w:w="6336"/>
          </w:tcPr>
          <w:p>
            <w:r/>
            <w:r>
              <w:rPr>
                <w:sz w:val="18"/>
              </w:rPr>
              <w:t>Se imputa por orden (mora, interés, capital). El saldo solo baja por el capital efectivamente pagado; el resto queda pendiente.</w:t>
            </w:r>
          </w:p>
        </w:tc>
      </w:tr>
      <w:tr>
        <w:tc>
          <w:tcPr>
            <w:tcW w:type="dxa" w:w="3312"/>
          </w:tcPr>
          <w:p>
            <w:r/>
            <w:r>
              <w:rPr>
                <w:sz w:val="18"/>
              </w:rPr>
              <w:t>Atraso dentro de la gracia</w:t>
            </w:r>
          </w:p>
        </w:tc>
        <w:tc>
          <w:tcPr>
            <w:tcW w:type="dxa" w:w="6336"/>
          </w:tcPr>
          <w:p>
            <w:r/>
            <w:r>
              <w:rPr>
                <w:sz w:val="18"/>
              </w:rPr>
              <w:t>No genera mora (días_mora = 0).</w:t>
            </w:r>
          </w:p>
        </w:tc>
      </w:tr>
      <w:tr>
        <w:tc>
          <w:tcPr>
            <w:tcW w:type="dxa" w:w="3312"/>
          </w:tcPr>
          <w:p>
            <w:r/>
            <w:r>
              <w:rPr>
                <w:sz w:val="18"/>
              </w:rPr>
              <w:t>Atraso 1 a mora2 días</w:t>
            </w:r>
          </w:p>
        </w:tc>
        <w:tc>
          <w:tcPr>
            <w:tcW w:type="dxa" w:w="6336"/>
          </w:tcPr>
          <w:p>
            <w:r/>
            <w:r>
              <w:rPr>
                <w:sz w:val="18"/>
              </w:rPr>
              <w:t>Genera mora; clasificación MORA 1 / VENCIDO; rendimientos en cartera activa (143).</w:t>
            </w:r>
          </w:p>
        </w:tc>
      </w:tr>
      <w:tr>
        <w:tc>
          <w:tcPr>
            <w:tcW w:type="dxa" w:w="3312"/>
          </w:tcPr>
          <w:p>
            <w:r/>
            <w:r>
              <w:rPr>
                <w:sz w:val="18"/>
              </w:rPr>
              <w:t>Atraso mayor a mora2</w:t>
            </w:r>
          </w:p>
        </w:tc>
        <w:tc>
          <w:tcPr>
            <w:tcW w:type="dxa" w:w="6336"/>
          </w:tcPr>
          <w:p>
            <w:r/>
            <w:r>
              <w:rPr>
                <w:sz w:val="18"/>
              </w:rPr>
              <w:t>Crédito «en orden»: rendimientos y mora a cuentas de orden (819); capital congelado; valorización a cuentas de orden.</w:t>
            </w:r>
          </w:p>
        </w:tc>
      </w:tr>
      <w:tr>
        <w:tc>
          <w:tcPr>
            <w:tcW w:type="dxa" w:w="3312"/>
          </w:tcPr>
          <w:p>
            <w:r/>
            <w:r>
              <w:rPr>
                <w:sz w:val="18"/>
              </w:rPr>
              <w:t>Atraso mayor a mora3</w:t>
            </w:r>
          </w:p>
        </w:tc>
        <w:tc>
          <w:tcPr>
            <w:tcW w:type="dxa" w:w="6336"/>
          </w:tcPr>
          <w:p>
            <w:r/>
            <w:r>
              <w:rPr>
                <w:sz w:val="18"/>
              </w:rPr>
              <w:t>Clasificación CASTIGO (incobrable).</w:t>
            </w:r>
          </w:p>
        </w:tc>
      </w:tr>
      <w:tr>
        <w:tc>
          <w:tcPr>
            <w:tcW w:type="dxa" w:w="3312"/>
          </w:tcPr>
          <w:p>
            <w:r/>
            <w:r>
              <w:rPr>
                <w:sz w:val="18"/>
              </w:rPr>
              <w:t>Prepago con reduce_term</w:t>
            </w:r>
          </w:p>
        </w:tc>
        <w:tc>
          <w:tcPr>
            <w:tcW w:type="dxa" w:w="6336"/>
          </w:tcPr>
          <w:p>
            <w:r/>
            <w:r>
              <w:rPr>
                <w:sz w:val="18"/>
              </w:rPr>
              <w:t>Misma cuota, menos cuotas: se acorta el plazo.</w:t>
            </w:r>
          </w:p>
        </w:tc>
      </w:tr>
      <w:tr>
        <w:tc>
          <w:tcPr>
            <w:tcW w:type="dxa" w:w="3312"/>
          </w:tcPr>
          <w:p>
            <w:r/>
            <w:r>
              <w:rPr>
                <w:sz w:val="18"/>
              </w:rPr>
              <w:t>Prepago con reduce_installment</w:t>
            </w:r>
          </w:p>
        </w:tc>
        <w:tc>
          <w:tcPr>
            <w:tcW w:type="dxa" w:w="6336"/>
          </w:tcPr>
          <w:p>
            <w:r/>
            <w:r>
              <w:rPr>
                <w:sz w:val="18"/>
              </w:rPr>
              <w:t>Mismo plazo, cuota menor.</w:t>
            </w:r>
          </w:p>
        </w:tc>
      </w:tr>
      <w:tr>
        <w:tc>
          <w:tcPr>
            <w:tcW w:type="dxa" w:w="3312"/>
          </w:tcPr>
          <w:p>
            <w:r/>
            <w:r>
              <w:rPr>
                <w:sz w:val="18"/>
              </w:rPr>
              <w:t>IDI sube (inflación normal)</w:t>
            </w:r>
          </w:p>
        </w:tc>
        <w:tc>
          <w:tcPr>
            <w:tcW w:type="dxa" w:w="6336"/>
          </w:tcPr>
          <w:p>
            <w:r/>
            <w:r>
              <w:rPr>
                <w:sz w:val="18"/>
              </w:rPr>
              <w:t>Valorización positiva; más bolívares por la misma UVC; el piso de IDI no actúa.</w:t>
            </w:r>
          </w:p>
        </w:tc>
      </w:tr>
      <w:tr>
        <w:tc>
          <w:tcPr>
            <w:tcW w:type="dxa" w:w="3312"/>
          </w:tcPr>
          <w:p>
            <w:r/>
            <w:r>
              <w:rPr>
                <w:sz w:val="18"/>
              </w:rPr>
              <w:t>IDI baja por debajo del de otorgamiento</w:t>
            </w:r>
          </w:p>
        </w:tc>
        <w:tc>
          <w:tcPr>
            <w:tcW w:type="dxa" w:w="6336"/>
          </w:tcPr>
          <w:p>
            <w:r/>
            <w:r>
              <w:rPr>
                <w:sz w:val="18"/>
              </w:rPr>
              <w:t>Valorización negativa (se reversa); el piso de IDI fija el IDI de otorgamiento en cancelaciones.</w:t>
            </w:r>
          </w:p>
        </w:tc>
      </w:tr>
      <w:tr>
        <w:tc>
          <w:tcPr>
            <w:tcW w:type="dxa" w:w="3312"/>
          </w:tcPr>
          <w:p>
            <w:r/>
            <w:r>
              <w:rPr>
                <w:sz w:val="18"/>
              </w:rPr>
              <w:t>Tasa cero</w:t>
            </w:r>
          </w:p>
        </w:tc>
        <w:tc>
          <w:tcPr>
            <w:tcW w:type="dxa" w:w="6336"/>
          </w:tcPr>
          <w:p>
            <w:r/>
            <w:r>
              <w:rPr>
                <w:sz w:val="18"/>
              </w:rPr>
              <w:t>Cuota = capital / n; sin intereses.</w:t>
            </w:r>
          </w:p>
        </w:tc>
      </w:tr>
      <w:tr>
        <w:tc>
          <w:tcPr>
            <w:tcW w:type="dxa" w:w="3312"/>
          </w:tcPr>
          <w:p>
            <w:r/>
            <w:r>
              <w:rPr>
                <w:sz w:val="18"/>
              </w:rPr>
              <w:t>Vencimiento en día no hábil</w:t>
            </w:r>
          </w:p>
        </w:tc>
        <w:tc>
          <w:tcPr>
            <w:tcW w:type="dxa" w:w="6336"/>
          </w:tcPr>
          <w:p>
            <w:r/>
            <w:r>
              <w:rPr>
                <w:sz w:val="18"/>
              </w:rPr>
              <w:t>Si el ajuste está activo, se mueve al siguiente día hábil y se recalculan días e IDI.</w:t>
            </w:r>
          </w:p>
        </w:tc>
      </w:tr>
      <w:tr>
        <w:tc>
          <w:tcPr>
            <w:tcW w:type="dxa" w:w="3312"/>
          </w:tcPr>
          <w:p>
            <w:r/>
            <w:r>
              <w:rPr>
                <w:sz w:val="18"/>
              </w:rPr>
              <w:t>Crédito no UVC</w:t>
            </w:r>
          </w:p>
        </w:tc>
        <w:tc>
          <w:tcPr>
            <w:tcW w:type="dxa" w:w="6336"/>
          </w:tcPr>
          <w:p>
            <w:r/>
            <w:r>
              <w:rPr>
                <w:sz w:val="18"/>
              </w:rPr>
              <w:t>IDI = 1; sin componentes de actualización ni valorización; cálculo directo en Bs.</w:t>
            </w:r>
          </w:p>
        </w:tc>
      </w:tr>
      <w:tr>
        <w:tc>
          <w:tcPr>
            <w:tcW w:type="dxa" w:w="3312"/>
          </w:tcPr>
          <w:p>
            <w:r/>
            <w:r>
              <w:rPr>
                <w:sz w:val="18"/>
              </w:rPr>
              <w:t>Última cuota</w:t>
            </w:r>
          </w:p>
        </w:tc>
        <w:tc>
          <w:tcPr>
            <w:tcW w:type="dxa" w:w="6336"/>
          </w:tcPr>
          <w:p>
            <w:r/>
            <w:r>
              <w:rPr>
                <w:sz w:val="18"/>
              </w:rPr>
              <w:t>La amortización iguala el saldo restante; el saldo cierra en cero.</w:t>
            </w:r>
          </w:p>
        </w:tc>
      </w:tr>
      <w:tr>
        <w:tc>
          <w:tcPr>
            <w:tcW w:type="dxa" w:w="3312"/>
          </w:tcPr>
          <w:p>
            <w:r/>
            <w:r>
              <w:rPr>
                <w:sz w:val="18"/>
              </w:rPr>
              <w:t>Tasa/mora fuera de tope</w:t>
            </w:r>
          </w:p>
        </w:tc>
        <w:tc>
          <w:tcPr>
            <w:tcW w:type="dxa" w:w="6336"/>
          </w:tcPr>
          <w:p>
            <w:r/>
            <w:r>
              <w:rPr>
                <w:sz w:val="18"/>
              </w:rPr>
              <w:t>Se bloquea (error) salvo en modo referencia, donde se reporta como alerta.</w:t>
            </w:r>
          </w:p>
        </w:tc>
      </w:tr>
    </w:tbl>
    <w:p>
      <w:pPr>
        <w:spacing w:after="40"/>
      </w:pPr>
    </w:p>
    <w:p>
      <w:pPr>
        <w:pStyle w:val="Heading1"/>
      </w:pPr>
      <w:r>
        <w:rPr>
          <w:color w:val="1F3A5F"/>
        </w:rPr>
        <w:t>24. Resumen de todas las fórmulas (hoja de referencia)</w:t>
      </w:r>
    </w:p>
    <w:p>
      <w:pPr>
        <w:spacing w:before="40" w:after="160"/>
        <w:ind w:left="432"/>
      </w:pPr>
      <w:r>
        <w:rPr>
          <w:rFonts w:ascii="Consolas" w:hAnsi="Consolas"/>
          <w:color w:val="4A148C"/>
          <w:sz w:val="20"/>
        </w:rPr>
        <w:t>--- Conversion UVC / IDI ---</w:t>
        <w:br/>
        <w:t>Capital_UVC = Capital_Bs / IDI_desembolso</w:t>
        <w:br/>
        <w:t>Monto_Bs    = Monto_UVC x IDI_fecha</w:t>
        <w:br/>
        <w:br/>
        <w:t>--- Cuota francesa ---</w:t>
        <w:br/>
        <w:t>i          = tasa_anual / 12</w:t>
        <w:br/>
        <w:t>Cuota_UVC  = Capital_UVC x [ i / (1 - (1+i)^(-n)) ]      (tasa 0: Capital_UVC / n)</w:t>
        <w:br/>
        <w:br/>
        <w:t>--- Descomposicion por periodo ---</w:t>
        <w:br/>
        <w:t>tasa_periodo  = tasa_anual x (dias_periodo / base_dias)</w:t>
        <w:br/>
        <w:t>Interes_UVC   = Saldo_UVC_inicial x tasa_periodo</w:t>
        <w:br/>
        <w:t>Amort_UVC     = Cuota_UVC - Interes_UVC      (ultima cuota: Amort_UVC = Saldo_UVC)</w:t>
        <w:br/>
        <w:t>Saldo_UVC_fin = Saldo_UVC_inicial - Amort_UVC</w:t>
        <w:br/>
        <w:br/>
        <w:t>--- Valoracion en bolivares ---</w:t>
        <w:br/>
        <w:t>Interes_Bs (idi_due)   = Interes_UVC x IDI_vencimiento</w:t>
        <w:br/>
        <w:t>Interes_Bs (idi_daily) = Interes_UVC x (Suma_IDI_periodo / dias_periodo)</w:t>
        <w:br/>
        <w:t>Amort_Bs               = Amort_UVC x IDI_vencimiento</w:t>
        <w:br/>
        <w:t>Cuota_Bs               = Interes_Bs + Amort_Bs</w:t>
        <w:br/>
        <w:t>Saldo_Bs               = Saldo_UVC_fin x IDI_vencimiento</w:t>
        <w:br/>
        <w:br/>
        <w:t>--- Base / variacion / valorizacion ---</w:t>
        <w:br/>
        <w:t>Componente_base_Bs = Monto_UVC x IDI_desembolso</w:t>
        <w:br/>
        <w:t>Val_UVC_capital    = Amort_Bs   - Amort_UVC   x IDI_desembolso</w:t>
        <w:br/>
        <w:t>Val_UVC_rend       = Interes_Bs - Interes_UVC x IDI_desembolso</w:t>
        <w:br/>
        <w:br/>
        <w:t>--- Mora ---</w:t>
        <w:br/>
        <w:t>Dias_mora = max(0, dias(vencimiento, pago) - dias_gracia)</w:t>
        <w:br/>
        <w:t>Mora_UVC  = Base_mora_UVC x tasa_mora x (Dias_mora / base_dias)</w:t>
        <w:br/>
        <w:t>Mora_Bs   = Mora_UVC x IDI   (o suma diaria con IDI(t))</w:t>
        <w:br/>
        <w:br/>
        <w:t>--- Clasificacion ---</w:t>
        <w:br/>
        <w:t>AL DIA / MORA 1 / VENCIDO / VENCIDO 2 / CASTIGO  segun mora1, mora2, mora3</w:t>
        <w:br/>
        <w:t>en_orden = Dias_mora &gt; mora2   -&gt;  rendimientos y mora a cuentas 819</w:t>
        <w:br/>
        <w:br/>
        <w:t>--- Prepago / piso IDI ---</w:t>
        <w:br/>
        <w:t>IDI_efectivo = max(IDI_pago, IDI_desembolso)</w:t>
        <w:br/>
        <w:t>n_restante   = -ln(1 - (Saldo_UVC x i)/Cuota_UVC) / ln(1+i)   (reduce_term)</w:t>
        <w:br/>
        <w:br/>
        <w:t>--- TIR ---</w:t>
        <w:br/>
        <w:t>VPN(r)=SUMA flujo_i/(1+r)^i = 0 ;  TIR_anual = (1+r)^12 - 1</w:t>
      </w:r>
    </w:p>
    <w:p>
      <w:pPr>
        <w:pStyle w:val="Heading1"/>
      </w:pPr>
      <w:r>
        <w:rPr>
          <w:color w:val="1F3A5F"/>
        </w:rPr>
        <w:t>25. Glosario</w:t>
      </w:r>
    </w:p>
    <w:tbl>
      <w:tblPr>
        <w:tblStyle w:val="LightGrid-Accent1"/>
        <w:tblW w:type="auto" w:w="0"/>
        <w:jc w:val="center"/>
        <w:tblLook w:firstColumn="1" w:firstRow="1" w:lastColumn="0" w:lastRow="0" w:noHBand="0" w:noVBand="1" w:val="04A0"/>
      </w:tblPr>
      <w:tblGrid>
        <w:gridCol w:w="4680"/>
        <w:gridCol w:w="4680"/>
      </w:tblGrid>
      <w:tr>
        <w:tc>
          <w:tcPr>
            <w:tcW w:type="dxa" w:w="2736"/>
            <w:shd w:val="clear" w:fill="1F3A5F"/>
          </w:tcPr>
          <w:p>
            <w:r/>
            <w:r>
              <w:rPr>
                <w:b/>
                <w:color w:val="FFFFFF"/>
                <w:sz w:val="19"/>
              </w:rPr>
              <w:t>Término</w:t>
            </w:r>
          </w:p>
        </w:tc>
        <w:tc>
          <w:tcPr>
            <w:tcW w:type="dxa" w:w="6912"/>
            <w:shd w:val="clear" w:fill="1F3A5F"/>
          </w:tcPr>
          <w:p>
            <w:r/>
            <w:r>
              <w:rPr>
                <w:b/>
                <w:color w:val="FFFFFF"/>
                <w:sz w:val="19"/>
              </w:rPr>
              <w:t>Definición</w:t>
            </w:r>
          </w:p>
        </w:tc>
      </w:tr>
      <w:tr>
        <w:tc>
          <w:tcPr>
            <w:tcW w:type="dxa" w:w="2736"/>
          </w:tcPr>
          <w:p>
            <w:r/>
            <w:r>
              <w:rPr>
                <w:sz w:val="19"/>
              </w:rPr>
              <w:t>UVC</w:t>
            </w:r>
          </w:p>
        </w:tc>
        <w:tc>
          <w:tcPr>
            <w:tcW w:type="dxa" w:w="6912"/>
          </w:tcPr>
          <w:p>
            <w:r/>
            <w:r>
              <w:rPr>
                <w:sz w:val="19"/>
              </w:rPr>
              <w:t>Unidad de Valor de Crédito. Unidad de cuenta del BCV para créditos en moneda nacional, que preserva el valor real del capital.</w:t>
            </w:r>
          </w:p>
        </w:tc>
      </w:tr>
      <w:tr>
        <w:tc>
          <w:tcPr>
            <w:tcW w:type="dxa" w:w="2736"/>
          </w:tcPr>
          <w:p>
            <w:r/>
            <w:r>
              <w:rPr>
                <w:sz w:val="19"/>
              </w:rPr>
              <w:t>IDI</w:t>
            </w:r>
          </w:p>
        </w:tc>
        <w:tc>
          <w:tcPr>
            <w:tcW w:type="dxa" w:w="6912"/>
          </w:tcPr>
          <w:p>
            <w:r/>
            <w:r>
              <w:rPr>
                <w:sz w:val="19"/>
              </w:rPr>
              <w:t>Índice de Inversión. Factor que el BCV publica a diario; indica cuántos bolívares vale una UVC en una fecha.</w:t>
            </w:r>
          </w:p>
        </w:tc>
      </w:tr>
      <w:tr>
        <w:tc>
          <w:tcPr>
            <w:tcW w:type="dxa" w:w="2736"/>
          </w:tcPr>
          <w:p>
            <w:r/>
            <w:r>
              <w:rPr>
                <w:sz w:val="19"/>
              </w:rPr>
              <w:t>IDI de desembolso / base</w:t>
            </w:r>
          </w:p>
        </w:tc>
        <w:tc>
          <w:tcPr>
            <w:tcW w:type="dxa" w:w="6912"/>
          </w:tcPr>
          <w:p>
            <w:r/>
            <w:r>
              <w:rPr>
                <w:sz w:val="19"/>
              </w:rPr>
              <w:t>IDI del día del desembolso; referencia fija para toda la vida del crédito.</w:t>
            </w:r>
          </w:p>
        </w:tc>
      </w:tr>
      <w:tr>
        <w:tc>
          <w:tcPr>
            <w:tcW w:type="dxa" w:w="2736"/>
          </w:tcPr>
          <w:p>
            <w:r/>
            <w:r>
              <w:rPr>
                <w:sz w:val="19"/>
              </w:rPr>
              <w:t>Amortización</w:t>
            </w:r>
          </w:p>
        </w:tc>
        <w:tc>
          <w:tcPr>
            <w:tcW w:type="dxa" w:w="6912"/>
          </w:tcPr>
          <w:p>
            <w:r/>
            <w:r>
              <w:rPr>
                <w:sz w:val="19"/>
              </w:rPr>
              <w:t>Porción de la cuota que abona al capital.</w:t>
            </w:r>
          </w:p>
        </w:tc>
      </w:tr>
      <w:tr>
        <w:tc>
          <w:tcPr>
            <w:tcW w:type="dxa" w:w="2736"/>
          </w:tcPr>
          <w:p>
            <w:r/>
            <w:r>
              <w:rPr>
                <w:sz w:val="19"/>
              </w:rPr>
              <w:t>Cuota</w:t>
            </w:r>
          </w:p>
        </w:tc>
        <w:tc>
          <w:tcPr>
            <w:tcW w:type="dxa" w:w="6912"/>
          </w:tcPr>
          <w:p>
            <w:r/>
            <w:r>
              <w:rPr>
                <w:sz w:val="19"/>
              </w:rPr>
              <w:t>Pago periódico = intereses + amortización.</w:t>
            </w:r>
          </w:p>
        </w:tc>
      </w:tr>
      <w:tr>
        <w:tc>
          <w:tcPr>
            <w:tcW w:type="dxa" w:w="2736"/>
          </w:tcPr>
          <w:p>
            <w:r/>
            <w:r>
              <w:rPr>
                <w:sz w:val="19"/>
              </w:rPr>
              <w:t>Interés corriente / convencional</w:t>
            </w:r>
          </w:p>
        </w:tc>
        <w:tc>
          <w:tcPr>
            <w:tcW w:type="dxa" w:w="6912"/>
          </w:tcPr>
          <w:p>
            <w:r/>
            <w:r>
              <w:rPr>
                <w:sz w:val="19"/>
              </w:rPr>
              <w:t>Interés ordinario por el uso del dinero.</w:t>
            </w:r>
          </w:p>
        </w:tc>
      </w:tr>
      <w:tr>
        <w:tc>
          <w:tcPr>
            <w:tcW w:type="dxa" w:w="2736"/>
          </w:tcPr>
          <w:p>
            <w:r/>
            <w:r>
              <w:rPr>
                <w:sz w:val="19"/>
              </w:rPr>
              <w:t>Mora</w:t>
            </w:r>
          </w:p>
        </w:tc>
        <w:tc>
          <w:tcPr>
            <w:tcW w:type="dxa" w:w="6912"/>
          </w:tcPr>
          <w:p>
            <w:r/>
            <w:r>
              <w:rPr>
                <w:sz w:val="19"/>
              </w:rPr>
              <w:t>Interés punitorio por atraso, sobre el capital vencido (sin anatocismo).</w:t>
            </w:r>
          </w:p>
        </w:tc>
      </w:tr>
      <w:tr>
        <w:tc>
          <w:tcPr>
            <w:tcW w:type="dxa" w:w="2736"/>
          </w:tcPr>
          <w:p>
            <w:r/>
            <w:r>
              <w:rPr>
                <w:sz w:val="19"/>
              </w:rPr>
              <w:t>Días de gracia</w:t>
            </w:r>
          </w:p>
        </w:tc>
        <w:tc>
          <w:tcPr>
            <w:tcW w:type="dxa" w:w="6912"/>
          </w:tcPr>
          <w:p>
            <w:r/>
            <w:r>
              <w:rPr>
                <w:sz w:val="19"/>
              </w:rPr>
              <w:t>Días de atraso que no generan mora.</w:t>
            </w:r>
          </w:p>
        </w:tc>
      </w:tr>
      <w:tr>
        <w:tc>
          <w:tcPr>
            <w:tcW w:type="dxa" w:w="2736"/>
          </w:tcPr>
          <w:p>
            <w:r/>
            <w:r>
              <w:rPr>
                <w:sz w:val="19"/>
              </w:rPr>
              <w:t>Base de días</w:t>
            </w:r>
          </w:p>
        </w:tc>
        <w:tc>
          <w:tcPr>
            <w:tcW w:type="dxa" w:w="6912"/>
          </w:tcPr>
          <w:p>
            <w:r/>
            <w:r>
              <w:rPr>
                <w:sz w:val="19"/>
              </w:rPr>
              <w:t>Convención de conteo (30/360 o actual/365) que define el denominador anual.</w:t>
            </w:r>
          </w:p>
        </w:tc>
      </w:tr>
      <w:tr>
        <w:tc>
          <w:tcPr>
            <w:tcW w:type="dxa" w:w="2736"/>
          </w:tcPr>
          <w:p>
            <w:r/>
            <w:r>
              <w:rPr>
                <w:sz w:val="19"/>
              </w:rPr>
              <w:t>Componente base</w:t>
            </w:r>
          </w:p>
        </w:tc>
        <w:tc>
          <w:tcPr>
            <w:tcW w:type="dxa" w:w="6912"/>
          </w:tcPr>
          <w:p>
            <w:r/>
            <w:r>
              <w:rPr>
                <w:sz w:val="19"/>
              </w:rPr>
              <w:t>Parte de la cuota valorada al IDI de desembolso.</w:t>
            </w:r>
          </w:p>
        </w:tc>
      </w:tr>
      <w:tr>
        <w:tc>
          <w:tcPr>
            <w:tcW w:type="dxa" w:w="2736"/>
          </w:tcPr>
          <w:p>
            <w:r/>
            <w:r>
              <w:rPr>
                <w:sz w:val="19"/>
              </w:rPr>
              <w:t>Componente de variación</w:t>
            </w:r>
          </w:p>
        </w:tc>
        <w:tc>
          <w:tcPr>
            <w:tcW w:type="dxa" w:w="6912"/>
          </w:tcPr>
          <w:p>
            <w:r/>
            <w:r>
              <w:rPr>
                <w:sz w:val="19"/>
              </w:rPr>
              <w:t>Parte por actualización (diferencia entre IDI de vencimiento y de desembolso).</w:t>
            </w:r>
          </w:p>
        </w:tc>
      </w:tr>
      <w:tr>
        <w:tc>
          <w:tcPr>
            <w:tcW w:type="dxa" w:w="2736"/>
          </w:tcPr>
          <w:p>
            <w:r/>
            <w:r>
              <w:rPr>
                <w:sz w:val="19"/>
              </w:rPr>
              <w:t>Valorización UVC</w:t>
            </w:r>
          </w:p>
        </w:tc>
        <w:tc>
          <w:tcPr>
            <w:tcW w:type="dxa" w:w="6912"/>
          </w:tcPr>
          <w:p>
            <w:r/>
            <w:r>
              <w:rPr>
                <w:sz w:val="19"/>
              </w:rPr>
              <w:t>Ganancia en Bs por la subida del IDI entre desembolso y vencimiento.</w:t>
            </w:r>
          </w:p>
        </w:tc>
      </w:tr>
      <w:tr>
        <w:tc>
          <w:tcPr>
            <w:tcW w:type="dxa" w:w="2736"/>
          </w:tcPr>
          <w:p>
            <w:r/>
            <w:r>
              <w:rPr>
                <w:sz w:val="19"/>
              </w:rPr>
              <w:t>Cartera activa (143)</w:t>
            </w:r>
          </w:p>
        </w:tc>
        <w:tc>
          <w:tcPr>
            <w:tcW w:type="dxa" w:w="6912"/>
          </w:tcPr>
          <w:p>
            <w:r/>
            <w:r>
              <w:rPr>
                <w:sz w:val="19"/>
              </w:rPr>
              <w:t>Créditos con atraso &lt;= mora2; rendimientos en cuentas de activo.</w:t>
            </w:r>
          </w:p>
        </w:tc>
      </w:tr>
      <w:tr>
        <w:tc>
          <w:tcPr>
            <w:tcW w:type="dxa" w:w="2736"/>
          </w:tcPr>
          <w:p>
            <w:r/>
            <w:r>
              <w:rPr>
                <w:sz w:val="19"/>
              </w:rPr>
              <w:t>Cuentas de orden (819)</w:t>
            </w:r>
          </w:p>
        </w:tc>
        <w:tc>
          <w:tcPr>
            <w:tcW w:type="dxa" w:w="6912"/>
          </w:tcPr>
          <w:p>
            <w:r/>
            <w:r>
              <w:rPr>
                <w:sz w:val="19"/>
              </w:rPr>
              <w:t>Rendimientos y mora de créditos con atraso &gt; mora2; fuera de resultados hasta cobrar.</w:t>
            </w:r>
          </w:p>
        </w:tc>
      </w:tr>
      <w:tr>
        <w:tc>
          <w:tcPr>
            <w:tcW w:type="dxa" w:w="2736"/>
          </w:tcPr>
          <w:p>
            <w:r/>
            <w:r>
              <w:rPr>
                <w:sz w:val="19"/>
              </w:rPr>
              <w:t>Congelamiento</w:t>
            </w:r>
          </w:p>
        </w:tc>
        <w:tc>
          <w:tcPr>
            <w:tcW w:type="dxa" w:w="6912"/>
          </w:tcPr>
          <w:p>
            <w:r/>
            <w:r>
              <w:rPr>
                <w:sz w:val="19"/>
              </w:rPr>
              <w:t>El crédito vencido deja de actualizarse por IDI en cuentas reales.</w:t>
            </w:r>
          </w:p>
        </w:tc>
      </w:tr>
      <w:tr>
        <w:tc>
          <w:tcPr>
            <w:tcW w:type="dxa" w:w="2736"/>
          </w:tcPr>
          <w:p>
            <w:r/>
            <w:r>
              <w:rPr>
                <w:sz w:val="19"/>
              </w:rPr>
              <w:t>Piso de IDI</w:t>
            </w:r>
          </w:p>
        </w:tc>
        <w:tc>
          <w:tcPr>
            <w:tcW w:type="dxa" w:w="6912"/>
          </w:tcPr>
          <w:p>
            <w:r/>
            <w:r>
              <w:rPr>
                <w:sz w:val="19"/>
              </w:rPr>
              <w:t>En cancelación anticipada, el IDI no puede ser menor al de otorgamiento.</w:t>
            </w:r>
          </w:p>
        </w:tc>
      </w:tr>
      <w:tr>
        <w:tc>
          <w:tcPr>
            <w:tcW w:type="dxa" w:w="2736"/>
          </w:tcPr>
          <w:p>
            <w:r/>
            <w:r>
              <w:rPr>
                <w:sz w:val="19"/>
              </w:rPr>
              <w:t>Prepago</w:t>
            </w:r>
          </w:p>
        </w:tc>
        <w:tc>
          <w:tcPr>
            <w:tcW w:type="dxa" w:w="6912"/>
          </w:tcPr>
          <w:p>
            <w:r/>
            <w:r>
              <w:rPr>
                <w:sz w:val="19"/>
              </w:rPr>
              <w:t>Pago de capital por encima de la cuota exigible.</w:t>
            </w:r>
          </w:p>
        </w:tc>
      </w:tr>
      <w:tr>
        <w:tc>
          <w:tcPr>
            <w:tcW w:type="dxa" w:w="2736"/>
          </w:tcPr>
          <w:p>
            <w:r/>
            <w:r>
              <w:rPr>
                <w:sz w:val="19"/>
              </w:rPr>
              <w:t>TIR</w:t>
            </w:r>
          </w:p>
        </w:tc>
        <w:tc>
          <w:tcPr>
            <w:tcW w:type="dxa" w:w="6912"/>
          </w:tcPr>
          <w:p>
            <w:r/>
            <w:r>
              <w:rPr>
                <w:sz w:val="19"/>
              </w:rPr>
              <w:t>Tasa Interna de Retorno; rendimiento efectivo del crédito para la institución.</w:t>
            </w:r>
          </w:p>
        </w:tc>
      </w:tr>
      <w:tr>
        <w:tc>
          <w:tcPr>
            <w:tcW w:type="dxa" w:w="2736"/>
          </w:tcPr>
          <w:p>
            <w:r/>
            <w:r>
              <w:rPr>
                <w:sz w:val="19"/>
              </w:rPr>
              <w:t>asOf / hoy simulado</w:t>
            </w:r>
          </w:p>
        </w:tc>
        <w:tc>
          <w:tcPr>
            <w:tcW w:type="dxa" w:w="6912"/>
          </w:tcPr>
          <w:p>
            <w:r/>
            <w:r>
              <w:rPr>
                <w:sz w:val="19"/>
              </w:rPr>
              <w:t>Fecha de corte en modo simulación (desembolso + simulationDays).</w:t>
            </w:r>
          </w:p>
        </w:tc>
      </w:tr>
      <w:tr>
        <w:tc>
          <w:tcPr>
            <w:tcW w:type="dxa" w:w="2736"/>
          </w:tcPr>
          <w:p>
            <w:r/>
            <w:r>
              <w:rPr>
                <w:sz w:val="19"/>
              </w:rPr>
              <w:t>SUDEBAN</w:t>
            </w:r>
          </w:p>
        </w:tc>
        <w:tc>
          <w:tcPr>
            <w:tcW w:type="dxa" w:w="6912"/>
          </w:tcPr>
          <w:p>
            <w:r/>
            <w:r>
              <w:rPr>
                <w:sz w:val="19"/>
              </w:rPr>
              <w:t>Superintendencia de las Instituciones del Sector Bancario.</w:t>
            </w:r>
          </w:p>
        </w:tc>
      </w:tr>
      <w:tr>
        <w:tc>
          <w:tcPr>
            <w:tcW w:type="dxa" w:w="2736"/>
          </w:tcPr>
          <w:p>
            <w:r/>
            <w:r>
              <w:rPr>
                <w:sz w:val="19"/>
              </w:rPr>
              <w:t>BCV</w:t>
            </w:r>
          </w:p>
        </w:tc>
        <w:tc>
          <w:tcPr>
            <w:tcW w:type="dxa" w:w="6912"/>
          </w:tcPr>
          <w:p>
            <w:r/>
            <w:r>
              <w:rPr>
                <w:sz w:val="19"/>
              </w:rPr>
              <w:t>Banco Central de Venezuela.</w:t>
            </w:r>
          </w:p>
        </w:tc>
      </w:tr>
    </w:tbl>
    <w:p>
      <w:pPr>
        <w:spacing w:after="40"/>
      </w:pPr>
    </w:p>
    <w:p/>
    <w:p>
      <w:r>
        <w:rPr>
          <w:i/>
          <w:color w:val="555555"/>
          <w:sz w:val="18"/>
        </w:rPr>
        <w:t>Documento de uso interno. Verifique la vigencia de las resoluciones del BCV y SUDEBAN antes de implementar en producción. Las fórmulas y reglas aquí descritas corresponden al motor de cálculo del proyecto (src/lib/simulator.js, regulatory.js y loanStorage.js).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