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Material</w:t>
        <w:br/>
        <w:t>Projected population-level impact of an AI health companion on HIV infections among adolescent girls and young women in South Africa</w:t>
      </w:r>
    </w:p>
    <w:p>
      <w:r>
        <w:rPr>
          <w:i/>
          <w:sz w:val="20"/>
        </w:rPr>
        <w:t>This supplement lists the full model parameter set, the calibration targets, and a self-contained reference list. Reference numbers below are specific to this supplement.</w:t>
      </w:r>
    </w:p>
    <w:p>
      <w:pPr>
        <w:pStyle w:val="Heading2"/>
      </w:pPr>
      <w:r>
        <w:t>Table S1. Model parameters</w:t>
      </w:r>
    </w:p>
    <w:p>
      <w:r>
        <w:rPr>
          <w:i/>
          <w:sz w:val="18"/>
        </w:rPr>
        <w:t>Per-time-step rates are weekly. “Calibrated” = fit to the South African trajectory; otherwise values are fixed inputs. Citations refer to the supplementary reference list below.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Per-act transmission probability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0.0035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Calibrated; range [1, 2]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Sex acts per week, main / casual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 / 2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Casual ≈2/wk [3]; main assumption ᵃ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Relative infectiousness, acute / AIDS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5× / 2×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Wawer 2005; Hollingsworth 2008 [4, 5]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Rel. infectiousness on ART, unsupp. / supp.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0.30 / 0.01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HPTN 052; Quinn 2000; Donnell 2010 [6–9]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AGYW susceptibility, 15–19 / 20–24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2.0 / 1.5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Dellar 2015 [10]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PrEP efficacy (per-act)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0.95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iPrEx; Partners PrEP; HPTN 084 [11–13]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Mean degree, main / casual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0.50 / 0.35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Aimee cohort (≈1.71 partners) [14]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Concurrency, main / casual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4% / 10%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Morris &amp; Kretzschmar 1997; Goodreau 2012 [15, 16]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Age-mixing breadth, main / casual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8 / 9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Realised AGYW gap ≈7.7y; 34% men ≥30 [17, 18]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Preferred partner age gap (AGYW)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Maughan-Brown 2014; Stoner 2019 [17, 18]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Partnership duration, main / casual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200 / 26 weeks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Modelling assumption (cf. [16]) ᵃ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HIV testing/diagnosis rate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0.01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Reference model; validated vs SA cascade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Linkage to ART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0.50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Reference model; validated vs SA cascade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Viral suppression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0.30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Reference model; validated vs SA cascade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ART discontinuation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0.01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Reference model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ART scale-up window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ramp 2004 → 2014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Johnson 2012 [19]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PrEP initiation rate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0.005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Modelling assumption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PrEP discontinuation rate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0.027 / week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≈6-mo median retention; HPTN 082 [20] ᵇ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HIV seed year / prevalence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1990 / 0.8%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Calibration setup; Thembisa [21]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Demographic burn-in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1965–1990 (HIV-free)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Calibration setup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National AGYW population (scaling)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5,071,746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Thembisa v5.0 [21]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Replicates / population size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96 / 20,000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Simulation design</w:t>
            </w:r>
          </w:p>
        </w:tc>
      </w:tr>
    </w:tbl>
    <w:p/>
    <w:p>
      <w:r>
        <w:rPr>
          <w:i/>
          <w:sz w:val="16"/>
        </w:rPr>
        <w:t>ᵃ Main-partner coital frequency (5/week) and partnership durations (200/26 weeks) are modelling assumptions within plausible ranges; South African data support a casual frequency of ≈2 acts/week [3]. ᵇ The 0.027/week rate corresponds to a ≈6-month median time on PrEP, presented as consistent with poor oral-PrEP continuation among South African AGYW [20]; HPTN 082 followed participants for 12 months, so this is the model’s implied retention rather than a directly measured median. Care-cascade transition rates were fixed a priori (not tuned to any coverage target); only the ART-availability timing was imposed from South Africa’s roll-out [19], so the model’s reproduction of the observed cascade is an out-of-sample validation.</w:t>
      </w:r>
    </w:p>
    <w:p>
      <w:pPr>
        <w:pStyle w:val="Heading2"/>
      </w:pPr>
      <w:r>
        <w:t>Table S2. Calibration targets (Thembisa v5.0, 2022)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HIV prevalence, women 15–19 / 20–24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5.4% / 12.4%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HIV prevalence, adult 15–49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17.6%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HIV incidence, women 15–24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0.96 / 100 PY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Older-men prevalence, 25–29 / 30–34 / 35–39 / 40–44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7.1 / 12.0 / 18.1 / 22.4%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Best-fit prevalence-trajectory RMSE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0.031 (≈3 percentage points)</w:t>
            </w:r>
          </w:p>
        </w:tc>
      </w:tr>
    </w:tbl>
    <w:p/>
    <w:p>
      <w:r>
        <w:rPr>
          <w:i/>
          <w:sz w:val="18"/>
        </w:rPr>
        <w:t>Targets are from the Thembisa v5.0 national model [21]; cross-checked against SABSSM VI (2022) [22]. The transmission probability was fit to the two prevalence trajectories; incidence was assessed separately (not combined into the RMSE).</w:t>
      </w:r>
    </w:p>
    <w:p>
      <w:pPr>
        <w:pStyle w:val="Heading2"/>
      </w:pPr>
      <w:r>
        <w:t>Supplementary references</w:t>
      </w:r>
    </w:p>
    <w:p>
      <w:pPr>
        <w:ind w:left="432" w:hanging="432"/>
      </w:pPr>
      <w:r>
        <w:rPr>
          <w:sz w:val="20"/>
        </w:rPr>
        <w:t>1. Boily MC, Baggaley RF, Wang L, et al. Heterosexual risk of HIV-1 infection per sexual act: systematic review and meta-analysis of observational studies. Lancet Infect Dis. 2009;9(2):118–129. PMID 19179227.</w:t>
      </w:r>
    </w:p>
    <w:p>
      <w:pPr>
        <w:ind w:left="432" w:hanging="432"/>
      </w:pPr>
      <w:r>
        <w:rPr>
          <w:sz w:val="20"/>
        </w:rPr>
        <w:t>2. Hughes JP, Baeten JM, Lingappa JR, et al. Determinants of per-coital-act HIV-1 infectivity among African HIV-1-serodiscordant couples. J Infect Dis. 2012;205(3):358–365. PMID 22241800.</w:t>
      </w:r>
    </w:p>
    <w:p>
      <w:pPr>
        <w:ind w:left="432" w:hanging="432"/>
      </w:pPr>
      <w:r>
        <w:rPr>
          <w:sz w:val="20"/>
        </w:rPr>
        <w:t>3. Delva W, Meng F, Beauclair R, et al. Coital frequency and condom use in monogamous and concurrent sexual relationships in Cape Town, South Africa. J Int AIDS Soc. 2013;16(1):18034. PMID 23618365.</w:t>
      </w:r>
    </w:p>
    <w:p>
      <w:pPr>
        <w:ind w:left="432" w:hanging="432"/>
      </w:pPr>
      <w:r>
        <w:rPr>
          <w:sz w:val="20"/>
        </w:rPr>
        <w:t>4. Wawer MJ, Gray RH, Sewankambo NK, et al. Rates of HIV-1 transmission per coital act, by stage of HIV-1 infection, in Rakai, Uganda. J Infect Dis. 2005;191(9):1403–1409. PMID 15809897.</w:t>
      </w:r>
    </w:p>
    <w:p>
      <w:pPr>
        <w:ind w:left="432" w:hanging="432"/>
      </w:pPr>
      <w:r>
        <w:rPr>
          <w:sz w:val="20"/>
        </w:rPr>
        <w:t>5. Hollingsworth TD, Anderson RM, Fraser C. HIV-1 transmission, by stage of infection. J Infect Dis. 2008;198(5):687–693. PMID 18662132.</w:t>
      </w:r>
    </w:p>
    <w:p>
      <w:pPr>
        <w:ind w:left="432" w:hanging="432"/>
      </w:pPr>
      <w:r>
        <w:rPr>
          <w:sz w:val="20"/>
        </w:rPr>
        <w:t>6. Cohen MS, Chen YQ, McCauley M, et al.; HPTN 052 Study Team. Prevention of HIV-1 infection with early antiretroviral therapy. N Engl J Med. 2011;365(6):493–505. PMID 21767103.</w:t>
      </w:r>
    </w:p>
    <w:p>
      <w:pPr>
        <w:ind w:left="432" w:hanging="432"/>
      </w:pPr>
      <w:r>
        <w:rPr>
          <w:sz w:val="20"/>
        </w:rPr>
        <w:t>7. Cohen MS, Chen YQ, McCauley M, et al.; HPTN 052 Study Team. Antiretroviral therapy for the prevention of HIV-1 transmission. N Engl J Med. 2016;375(9):830–839. PMID 27424812.</w:t>
      </w:r>
    </w:p>
    <w:p>
      <w:pPr>
        <w:ind w:left="432" w:hanging="432"/>
      </w:pPr>
      <w:r>
        <w:rPr>
          <w:sz w:val="20"/>
        </w:rPr>
        <w:t>8. Quinn TC, Wawer MJ, Sewankambo N, et al. Viral load and heterosexual transmission of HIV type 1. N Engl J Med. 2000;342(13):921–929. PMID 10738050.</w:t>
      </w:r>
    </w:p>
    <w:p>
      <w:pPr>
        <w:ind w:left="432" w:hanging="432"/>
      </w:pPr>
      <w:r>
        <w:rPr>
          <w:sz w:val="20"/>
        </w:rPr>
        <w:t>9. Donnell D, Baeten JM, Kiarie J, et al. Heterosexual HIV-1 transmission after initiation of antiretroviral therapy. Lancet. 2010;375(9731):2092–2098. PMID 20537376.</w:t>
      </w:r>
    </w:p>
    <w:p>
      <w:pPr>
        <w:ind w:left="432" w:hanging="432"/>
      </w:pPr>
      <w:r>
        <w:rPr>
          <w:sz w:val="20"/>
        </w:rPr>
        <w:t>10. Dellar RC, Dlamini S, Abdool Karim Q. Adolescent girls and young women: key populations for HIV epidemic control. J Int AIDS Soc. 2015;18(2 Suppl 1):19408. PMID 25724504.</w:t>
      </w:r>
    </w:p>
    <w:p>
      <w:pPr>
        <w:ind w:left="432" w:hanging="432"/>
      </w:pPr>
      <w:r>
        <w:rPr>
          <w:sz w:val="20"/>
        </w:rPr>
        <w:t>11. Grant RM, Lama JR, Anderson PL, et al.; iPrEx Study Team. Preexposure chemoprophylaxis for HIV prevention in men who have sex with men. N Engl J Med. 2010;363(27):2587–2599. PMID 21091279.</w:t>
      </w:r>
    </w:p>
    <w:p>
      <w:pPr>
        <w:ind w:left="432" w:hanging="432"/>
      </w:pPr>
      <w:r>
        <w:rPr>
          <w:sz w:val="20"/>
        </w:rPr>
        <w:t>12. Baeten JM, Donnell D, Ndase P, et al.; Partners PrEP Study Team. Antiretroviral prophylaxis for HIV prevention in heterosexual men and women. N Engl J Med. 2012;367(5):399–410. PMID 22784037.</w:t>
      </w:r>
    </w:p>
    <w:p>
      <w:pPr>
        <w:ind w:left="432" w:hanging="432"/>
      </w:pPr>
      <w:r>
        <w:rPr>
          <w:sz w:val="20"/>
        </w:rPr>
        <w:t>13. Delany-Moretlwe S, Hughes JP, Bock P, et al.; HPTN 084 study group. Cabotegravir for the prevention of HIV-1 in women: results from HPTN 084. Lancet. 2022;399(10337):1779–1789. PMID 35378077.</w:t>
      </w:r>
    </w:p>
    <w:p>
      <w:pPr>
        <w:ind w:left="432" w:hanging="432"/>
      </w:pPr>
      <w:r>
        <w:rPr>
          <w:sz w:val="20"/>
        </w:rPr>
        <w:t>14. [Clover/Aimee field study] — authors’ own field-study report (cohort, engagement, HIV-testing and PrEP-uptake data, partnership degree, and effect sizes; analytic N = 9,310). [Complete citation.]</w:t>
      </w:r>
    </w:p>
    <w:p>
      <w:pPr>
        <w:ind w:left="432" w:hanging="432"/>
      </w:pPr>
      <w:r>
        <w:rPr>
          <w:sz w:val="20"/>
        </w:rPr>
        <w:t>15. Morris M, Kretzschmar M. Concurrent partnerships and the spread of HIV. AIDS. 1997;11(5):641–648. PMID 9108946.</w:t>
      </w:r>
    </w:p>
    <w:p>
      <w:pPr>
        <w:ind w:left="432" w:hanging="432"/>
      </w:pPr>
      <w:r>
        <w:rPr>
          <w:sz w:val="20"/>
        </w:rPr>
        <w:t>16. Goodreau SM, Cassels S, Kasprzyk D, et al. Concurrent partnerships, acute infection and HIV epidemic dynamics among young adults in Zimbabwe. AIDS Behav. 2012;16(2):312–322. PMID 21190074.</w:t>
      </w:r>
    </w:p>
    <w:p>
      <w:pPr>
        <w:ind w:left="432" w:hanging="432"/>
      </w:pPr>
      <w:r>
        <w:rPr>
          <w:sz w:val="20"/>
        </w:rPr>
        <w:t>17. Maughan-Brown B, Kenyon C, Lurie MN. Partner age differences and concurrency in South Africa: implications for HIV-infection risk among young women. AIDS Behav. 2014;18(12):2469–2476. PMID 25047687.</w:t>
      </w:r>
    </w:p>
    <w:p>
      <w:pPr>
        <w:ind w:left="432" w:hanging="432"/>
      </w:pPr>
      <w:r>
        <w:rPr>
          <w:sz w:val="20"/>
        </w:rPr>
        <w:t>18. Stoner MCD, Nguyen N, Kilburn K, et al. Age-disparate partnerships and incident HIV infection in adolescent girls and young women in rural South Africa (HPTN 068). AIDS. 2019;33(1):83–91. PMID 30289813.</w:t>
      </w:r>
    </w:p>
    <w:p>
      <w:pPr>
        <w:ind w:left="432" w:hanging="432"/>
      </w:pPr>
      <w:r>
        <w:rPr>
          <w:sz w:val="20"/>
        </w:rPr>
        <w:t>19. Johnson LF. Access to antiretroviral treatment in South Africa, 2004–2011. South Afr J HIV Med. 2012;13(1):22–27.</w:t>
      </w:r>
    </w:p>
    <w:p>
      <w:pPr>
        <w:ind w:left="432" w:hanging="432"/>
      </w:pPr>
      <w:r>
        <w:rPr>
          <w:sz w:val="20"/>
        </w:rPr>
        <w:t>20. Celum C, Hosek S, Tsholwana M, et al. PrEP uptake, persistence, adherence among young women in southern Africa (HPTN 082). PLoS Med. 2021;18(6):e1003670. PMID 34143779.</w:t>
      </w:r>
    </w:p>
    <w:p>
      <w:pPr>
        <w:ind w:left="432" w:hanging="432"/>
      </w:pPr>
      <w:r>
        <w:rPr>
          <w:sz w:val="20"/>
        </w:rPr>
        <w:t>21. Johnson LF, Dorrington RE. Thembisa version 5.0: a model for evaluating the impact of HIV/AIDS in South Africa. University of Cape Town; 2024. thembisa.org.</w:t>
      </w:r>
    </w:p>
    <w:p>
      <w:pPr>
        <w:ind w:left="432" w:hanging="432"/>
      </w:pPr>
      <w:r>
        <w:rPr>
          <w:sz w:val="20"/>
        </w:rPr>
        <w:t>22. Human Sciences Research Council. The Sixth South African National HIV Prevalence, Incidence, Behaviour and Communication Survey (SABSSM VI), 2022. HSRC;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