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w:t>
      </w:r>
      <w:r>
        <w:rPr>
          <w:b/>
          <w:i w:val="0"/>
        </w:rPr>
        <w:t>6.2% of infections (45,333; 95% CI 36,884–53,782; p &lt; 0.001)</w:t>
      </w:r>
      <w:r>
        <w:rPr>
          <w:i w:val="0"/>
        </w:rPr>
        <w:t xml:space="preserve"> under the central assumption and </w:t>
      </w:r>
      <w:r>
        <w:rPr>
          <w:b/>
          <w:i w:val="0"/>
        </w:rPr>
        <w:t>10.3% (75,191; 65,724–84,659; p &lt; 0.001)</w:t>
      </w:r>
      <w:r>
        <w:rPr>
          <w:i w:val="0"/>
        </w:rPr>
        <w:t xml:space="preserve"> under the optimistic assumption; effects were statistically supported in eight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Vital dynamics comprised aging, entry of new susceptible 15-year-olds, and exit by background mortality, AIDS mortality, and aging out at age 50.</w:t>
      </w:r>
    </w:p>
    <w:p>
      <w:pPr>
        <w:pStyle w:val="Heading2"/>
      </w:pPr>
      <w:r>
        <w:t>HIV natural history, transmission, and care cascade</w:t>
      </w:r>
    </w:p>
    <w:p>
      <w:r>
        <w:rPr>
          <w:i w:val="0"/>
        </w:rPr>
        <w:t>HIV progression was modelled as susceptible → acute → chronic → AIDS, with stage-specific relative infectiousness (acute 5×, AIDS 2× the chronic reference). Per-partnership transmission each weekly time step was a function of a per-act transmission probability, the number of sex acts (5/week main, 2/week casual), infector stage, and ART status (treatment-as-prevention: virally suppressed individuals near-non-infectious). Young women carried an age-graded elevated per-contact susceptibility (2.0× at ages 15–19 and 1.5× at 20–24).</w:t>
      </w:r>
    </w:p>
    <w:p>
      <w:r>
        <w:rPr>
          <w:i w:val="0"/>
        </w:rPr>
        <w:t>The care cascade comprised four states — undiagnosed, diagnosed (off ART), on ART (not suppressed), and virally suppressed — with transitions governed by HIV testing/diagnosis, linkage, viral suppression, and ART discontinuation rates. ART availability was introduced as a time-varying scale-up ramping from 0 (pre-2004) to full (2014), reproducing the South African roll-out. PrEP was modelled on the susceptible side as a per-act reduction in acquisition probability (95% efficacy), with stochastic initiation among eligible individuals and discontinuation. The PrEP discontinuation rate was set to reflect the documented poor continuation of oral PrEP among South African AGYW (≈6-month median retention), so that baseline PrEP coverage remained low (~3%) with rapid turnover rather than accumulating an unrealistically protected stock.</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scaled by an assumed causal fraction: rate ratio = 1 + (HR − 1) × causal fraction. We evaluated a full factorial grid of reach (10%, 30%, 50% of AGYW) × causal fraction (25% [conservative], 50% [central], 100% [optimistic]), plus a no-chatbot counterfactual baseline.</w:t>
      </w:r>
    </w:p>
    <w:p>
      <w:pPr>
        <w:pStyle w:val="Heading2"/>
      </w:pPr>
      <w:r>
        <w:t>Implementation strategies: demand generation versus persistence support</w:t>
      </w:r>
    </w:p>
    <w:p>
      <w:r>
        <w:rPr>
          <w:i w:val="0"/>
        </w:rPr>
        <w:t>To inform how a chatbot programme should be designed, a secondary analysis decomposed the PrEP effect into the implementation levers the chatbot could act on, at a fixed 50% reach and central initiation effect (testing held at baseline to isolate the PrEP pathway). We distinguished three strategies: (i) demand generation — the chatbot expands PrEP eligibility among reached AGYW and raises their initiation rate (the mechanism used in the primary analysis); (ii) persistence support — the chatbot recruits no new users but reduces discontinuation among reached AGYW already on PrEP, representing digital adherence/retention support; and (iii) both combined. Because the cohort provides a hazard ratio for PrEP initiation but not for continuation, the persistence effect was not estimated from data but explored as a scenario range — a 20%, 40%, or 60% reduction in the weekly discontinuation rate, corresponding to a median time on PrEP increasing from ~6 months to ~7.4, ~9.8, and ~14.8 months respectively, within the range reported for digital adherence-support interventions (a limitation we return to in the Discussion).</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 (Figure 1).</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1.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733,000 new HIV infections among AGYW nationally over 2025–2035 (median; interquartile range 696,000–762,000).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(Figure 2; Table 2).</w:t>
      </w:r>
    </w:p>
    <w:p>
      <w:r>
        <w:rPr>
          <w:i w:val="0"/>
        </w:rPr>
        <w:t xml:space="preserve">At 50% reach, the chatbot averted an estimated </w:t>
      </w:r>
      <w:r>
        <w:rPr>
          <w:b/>
          <w:i w:val="0"/>
        </w:rPr>
        <w:t>6.2% of AGYW infections (45,333; 95% CI 36,884–53,782; p &lt; 0.001)</w:t>
      </w:r>
      <w:r>
        <w:rPr>
          <w:i w:val="0"/>
        </w:rPr>
        <w:t xml:space="preserve"> under the central assumption and </w:t>
      </w:r>
      <w:r>
        <w:rPr>
          <w:b/>
          <w:i w:val="0"/>
        </w:rPr>
        <w:t>10.3% (75,191; 65,724–84,659; p &lt; 0.001)</w:t>
      </w:r>
      <w:r>
        <w:rPr>
          <w:i w:val="0"/>
        </w:rPr>
        <w:t xml:space="preserve"> under the optimistic assumption; even the conservative assumption averted a significant 4.9% (35,670; 27,050–44,290; p &lt; 0.001). At 30% reach the estimates were 3.3% / 4.3% / 6.3% (conservative / central / optimistic; all p &lt; 0.001), and at 10% reach 1.2–2.5%. Effects were statistically supported (95% CI excluding zero) in eight of the nine intervention scenarios — every scenario except the 10%-reach central scenario (0.9%; p = 0.11). With 96 replicates these intervals were tight (±9,500 at 50% reach, optimistic). Efficiency improved with increasing reach under the optimistic assumption, reflecting the dose–response of the intervention (Figure 3).</w:t>
      </w:r>
    </w:p>
    <w:p>
      <w:r>
        <w:rPr>
          <w:b/>
          <w:sz w:val="20"/>
        </w:rPr>
        <w:t>Table 2.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b/>
                <w:sz w:val="18"/>
              </w:rPr>
              <w:t>10%</w:t>
            </w:r>
          </w:p>
        </w:tc>
        <w:tc>
          <w:tcPr>
            <w:tcW w:type="dxa" w:w="1728"/>
          </w:tcPr>
          <w:p>
            <w:r/>
            <w:r>
              <w:rPr>
                <w:b/>
                <w:sz w:val="18"/>
              </w:rPr>
              <w:t>Conservative</w:t>
            </w:r>
          </w:p>
        </w:tc>
        <w:tc>
          <w:tcPr>
            <w:tcW w:type="dxa" w:w="2160"/>
          </w:tcPr>
          <w:p>
            <w:r/>
            <w:r>
              <w:rPr>
                <w:b/>
                <w:sz w:val="18"/>
              </w:rPr>
              <w:t>8,945</w:t>
            </w:r>
          </w:p>
        </w:tc>
        <w:tc>
          <w:tcPr>
            <w:tcW w:type="dxa" w:w="2160"/>
          </w:tcPr>
          <w:p>
            <w:r/>
            <w:r>
              <w:rPr>
                <w:b/>
                <w:sz w:val="18"/>
              </w:rPr>
              <w:t>602 – 17,287</w:t>
            </w:r>
          </w:p>
        </w:tc>
        <w:tc>
          <w:tcPr>
            <w:tcW w:type="dxa" w:w="864"/>
          </w:tcPr>
          <w:p>
            <w:r/>
            <w:r>
              <w:rPr>
                <w:b/>
                <w:sz w:val="18"/>
              </w:rPr>
              <w:t>0.036</w:t>
            </w:r>
          </w:p>
        </w:tc>
        <w:tc>
          <w:tcPr>
            <w:tcW w:type="dxa" w:w="1152"/>
          </w:tcPr>
          <w:p>
            <w:r/>
            <w:r>
              <w:rPr>
                <w:b/>
                <w:sz w:val="18"/>
              </w:rPr>
              <w:t>1.2%</w:t>
            </w:r>
          </w:p>
        </w:tc>
      </w:tr>
      <w:tr>
        <w:tc>
          <w:tcPr>
            <w:tcW w:type="dxa" w:w="864"/>
          </w:tcPr>
          <w:p>
            <w:r/>
            <w:r>
              <w:rPr>
                <w:sz w:val="18"/>
              </w:rPr>
              <w:t>10%</w:t>
            </w:r>
          </w:p>
        </w:tc>
        <w:tc>
          <w:tcPr>
            <w:tcW w:type="dxa" w:w="1728"/>
          </w:tcPr>
          <w:p>
            <w:r/>
            <w:r>
              <w:rPr>
                <w:sz w:val="18"/>
              </w:rPr>
              <w:t>Central</w:t>
            </w:r>
          </w:p>
        </w:tc>
        <w:tc>
          <w:tcPr>
            <w:tcW w:type="dxa" w:w="2160"/>
          </w:tcPr>
          <w:p>
            <w:r/>
            <w:r>
              <w:rPr>
                <w:sz w:val="18"/>
              </w:rPr>
              <w:t>6,641</w:t>
            </w:r>
          </w:p>
        </w:tc>
        <w:tc>
          <w:tcPr>
            <w:tcW w:type="dxa" w:w="2160"/>
          </w:tcPr>
          <w:p>
            <w:r/>
            <w:r>
              <w:rPr>
                <w:sz w:val="18"/>
              </w:rPr>
              <w:t>−1,559 – 14,840</w:t>
            </w:r>
          </w:p>
        </w:tc>
        <w:tc>
          <w:tcPr>
            <w:tcW w:type="dxa" w:w="864"/>
          </w:tcPr>
          <w:p>
            <w:r/>
            <w:r>
              <w:rPr>
                <w:sz w:val="18"/>
              </w:rPr>
              <w:t>0.111</w:t>
            </w:r>
          </w:p>
        </w:tc>
        <w:tc>
          <w:tcPr>
            <w:tcW w:type="dxa" w:w="1152"/>
          </w:tcPr>
          <w:p>
            <w:r/>
            <w:r>
              <w:rPr>
                <w:sz w:val="18"/>
              </w:rPr>
              <w:t>0.9%</w:t>
            </w:r>
          </w:p>
        </w:tc>
      </w:tr>
      <w:tr>
        <w:tc>
          <w:tcPr>
            <w:tcW w:type="dxa" w:w="864"/>
          </w:tcPr>
          <w:p>
            <w:r/>
            <w:r>
              <w:rPr>
                <w:b/>
                <w:sz w:val="18"/>
              </w:rPr>
              <w:t>10%</w:t>
            </w:r>
          </w:p>
        </w:tc>
        <w:tc>
          <w:tcPr>
            <w:tcW w:type="dxa" w:w="1728"/>
          </w:tcPr>
          <w:p>
            <w:r/>
            <w:r>
              <w:rPr>
                <w:b/>
                <w:sz w:val="18"/>
              </w:rPr>
              <w:t>Optimistic</w:t>
            </w:r>
          </w:p>
        </w:tc>
        <w:tc>
          <w:tcPr>
            <w:tcW w:type="dxa" w:w="2160"/>
          </w:tcPr>
          <w:p>
            <w:r/>
            <w:r>
              <w:rPr>
                <w:b/>
                <w:sz w:val="18"/>
              </w:rPr>
              <w:t>18,521</w:t>
            </w:r>
          </w:p>
        </w:tc>
        <w:tc>
          <w:tcPr>
            <w:tcW w:type="dxa" w:w="2160"/>
          </w:tcPr>
          <w:p>
            <w:r/>
            <w:r>
              <w:rPr>
                <w:b/>
                <w:sz w:val="18"/>
              </w:rPr>
              <w:t>8,529 – 28,513</w:t>
            </w:r>
          </w:p>
        </w:tc>
        <w:tc>
          <w:tcPr>
            <w:tcW w:type="dxa" w:w="864"/>
          </w:tcPr>
          <w:p>
            <w:r/>
            <w:r>
              <w:rPr>
                <w:b/>
                <w:sz w:val="18"/>
              </w:rPr>
              <w:t>&lt;0.001</w:t>
            </w:r>
          </w:p>
        </w:tc>
        <w:tc>
          <w:tcPr>
            <w:tcW w:type="dxa" w:w="1152"/>
          </w:tcPr>
          <w:p>
            <w:r/>
            <w:r>
              <w:rPr>
                <w:b/>
                <w:sz w:val="18"/>
              </w:rPr>
              <w:t>2.5%</w:t>
            </w:r>
          </w:p>
        </w:tc>
      </w:tr>
      <w:tr>
        <w:tc>
          <w:tcPr>
            <w:tcW w:type="dxa" w:w="864"/>
          </w:tcPr>
          <w:p>
            <w:r/>
            <w:r>
              <w:rPr>
                <w:b/>
                <w:sz w:val="18"/>
              </w:rPr>
              <w:t>30%</w:t>
            </w:r>
          </w:p>
        </w:tc>
        <w:tc>
          <w:tcPr>
            <w:tcW w:type="dxa" w:w="1728"/>
          </w:tcPr>
          <w:p>
            <w:r/>
            <w:r>
              <w:rPr>
                <w:b/>
                <w:sz w:val="18"/>
              </w:rPr>
              <w:t>Conservative</w:t>
            </w:r>
          </w:p>
        </w:tc>
        <w:tc>
          <w:tcPr>
            <w:tcW w:type="dxa" w:w="2160"/>
          </w:tcPr>
          <w:p>
            <w:r/>
            <w:r>
              <w:rPr>
                <w:b/>
                <w:sz w:val="18"/>
              </w:rPr>
              <w:t>23,871</w:t>
            </w:r>
          </w:p>
        </w:tc>
        <w:tc>
          <w:tcPr>
            <w:tcW w:type="dxa" w:w="2160"/>
          </w:tcPr>
          <w:p>
            <w:r/>
            <w:r>
              <w:rPr>
                <w:b/>
                <w:sz w:val="18"/>
              </w:rPr>
              <w:t>15,017 – 32,726</w:t>
            </w:r>
          </w:p>
        </w:tc>
        <w:tc>
          <w:tcPr>
            <w:tcW w:type="dxa" w:w="864"/>
          </w:tcPr>
          <w:p>
            <w:r/>
            <w:r>
              <w:rPr>
                <w:b/>
                <w:sz w:val="18"/>
              </w:rPr>
              <w:t>&lt;0.001</w:t>
            </w:r>
          </w:p>
        </w:tc>
        <w:tc>
          <w:tcPr>
            <w:tcW w:type="dxa" w:w="1152"/>
          </w:tcPr>
          <w:p>
            <w:r/>
            <w:r>
              <w:rPr>
                <w:b/>
                <w:sz w:val="18"/>
              </w:rPr>
              <w:t>3.3%</w:t>
            </w:r>
          </w:p>
        </w:tc>
      </w:tr>
      <w:tr>
        <w:tc>
          <w:tcPr>
            <w:tcW w:type="dxa" w:w="864"/>
          </w:tcPr>
          <w:p>
            <w:r/>
            <w:r>
              <w:rPr>
                <w:b/>
                <w:sz w:val="18"/>
              </w:rPr>
              <w:t>30%</w:t>
            </w:r>
          </w:p>
        </w:tc>
        <w:tc>
          <w:tcPr>
            <w:tcW w:type="dxa" w:w="1728"/>
          </w:tcPr>
          <w:p>
            <w:r/>
            <w:r>
              <w:rPr>
                <w:b/>
                <w:sz w:val="18"/>
              </w:rPr>
              <w:t>Central</w:t>
            </w:r>
          </w:p>
        </w:tc>
        <w:tc>
          <w:tcPr>
            <w:tcW w:type="dxa" w:w="2160"/>
          </w:tcPr>
          <w:p>
            <w:r/>
            <w:r>
              <w:rPr>
                <w:b/>
                <w:sz w:val="18"/>
              </w:rPr>
              <w:t>31,546</w:t>
            </w:r>
          </w:p>
        </w:tc>
        <w:tc>
          <w:tcPr>
            <w:tcW w:type="dxa" w:w="2160"/>
          </w:tcPr>
          <w:p>
            <w:r/>
            <w:r>
              <w:rPr>
                <w:b/>
                <w:sz w:val="18"/>
              </w:rPr>
              <w:t>23,023 – 40,069</w:t>
            </w:r>
          </w:p>
        </w:tc>
        <w:tc>
          <w:tcPr>
            <w:tcW w:type="dxa" w:w="864"/>
          </w:tcPr>
          <w:p>
            <w:r/>
            <w:r>
              <w:rPr>
                <w:b/>
                <w:sz w:val="18"/>
              </w:rPr>
              <w:t>&lt;0.001</w:t>
            </w:r>
          </w:p>
        </w:tc>
        <w:tc>
          <w:tcPr>
            <w:tcW w:type="dxa" w:w="1152"/>
          </w:tcPr>
          <w:p>
            <w:r/>
            <w:r>
              <w:rPr>
                <w:b/>
                <w:sz w:val="18"/>
              </w:rPr>
              <w:t>4.3%</w:t>
            </w:r>
          </w:p>
        </w:tc>
      </w:tr>
      <w:tr>
        <w:tc>
          <w:tcPr>
            <w:tcW w:type="dxa" w:w="864"/>
          </w:tcPr>
          <w:p>
            <w:r/>
            <w:r>
              <w:rPr>
                <w:b/>
                <w:sz w:val="18"/>
              </w:rPr>
              <w:t>30%</w:t>
            </w:r>
          </w:p>
        </w:tc>
        <w:tc>
          <w:tcPr>
            <w:tcW w:type="dxa" w:w="1728"/>
          </w:tcPr>
          <w:p>
            <w:r/>
            <w:r>
              <w:rPr>
                <w:b/>
                <w:sz w:val="18"/>
              </w:rPr>
              <w:t>Optimistic</w:t>
            </w:r>
          </w:p>
        </w:tc>
        <w:tc>
          <w:tcPr>
            <w:tcW w:type="dxa" w:w="2160"/>
          </w:tcPr>
          <w:p>
            <w:r/>
            <w:r>
              <w:rPr>
                <w:b/>
                <w:sz w:val="18"/>
              </w:rPr>
              <w:t>45,858</w:t>
            </w:r>
          </w:p>
        </w:tc>
        <w:tc>
          <w:tcPr>
            <w:tcW w:type="dxa" w:w="2160"/>
          </w:tcPr>
          <w:p>
            <w:r/>
            <w:r>
              <w:rPr>
                <w:b/>
                <w:sz w:val="18"/>
              </w:rPr>
              <w:t>38,529 – 53,188</w:t>
            </w:r>
          </w:p>
        </w:tc>
        <w:tc>
          <w:tcPr>
            <w:tcW w:type="dxa" w:w="864"/>
          </w:tcPr>
          <w:p>
            <w:r/>
            <w:r>
              <w:rPr>
                <w:b/>
                <w:sz w:val="18"/>
              </w:rPr>
              <w:t>&lt;0.001</w:t>
            </w:r>
          </w:p>
        </w:tc>
        <w:tc>
          <w:tcPr>
            <w:tcW w:type="dxa" w:w="1152"/>
          </w:tcPr>
          <w:p>
            <w:r/>
            <w:r>
              <w:rPr>
                <w:b/>
                <w:sz w:val="18"/>
              </w:rPr>
              <w:t>6.3%</w:t>
            </w:r>
          </w:p>
        </w:tc>
      </w:tr>
      <w:tr>
        <w:tc>
          <w:tcPr>
            <w:tcW w:type="dxa" w:w="864"/>
          </w:tcPr>
          <w:p>
            <w:r/>
            <w:r>
              <w:rPr>
                <w:b/>
                <w:sz w:val="18"/>
              </w:rPr>
              <w:t>50%</w:t>
            </w:r>
          </w:p>
        </w:tc>
        <w:tc>
          <w:tcPr>
            <w:tcW w:type="dxa" w:w="1728"/>
          </w:tcPr>
          <w:p>
            <w:r/>
            <w:r>
              <w:rPr>
                <w:b/>
                <w:sz w:val="18"/>
              </w:rPr>
              <w:t>Conservative</w:t>
            </w:r>
          </w:p>
        </w:tc>
        <w:tc>
          <w:tcPr>
            <w:tcW w:type="dxa" w:w="2160"/>
          </w:tcPr>
          <w:p>
            <w:r/>
            <w:r>
              <w:rPr>
                <w:b/>
                <w:sz w:val="18"/>
              </w:rPr>
              <w:t>35,670</w:t>
            </w:r>
          </w:p>
        </w:tc>
        <w:tc>
          <w:tcPr>
            <w:tcW w:type="dxa" w:w="2160"/>
          </w:tcPr>
          <w:p>
            <w:r/>
            <w:r>
              <w:rPr>
                <w:b/>
                <w:sz w:val="18"/>
              </w:rPr>
              <w:t>27,050 – 44,290</w:t>
            </w:r>
          </w:p>
        </w:tc>
        <w:tc>
          <w:tcPr>
            <w:tcW w:type="dxa" w:w="864"/>
          </w:tcPr>
          <w:p>
            <w:r/>
            <w:r>
              <w:rPr>
                <w:b/>
                <w:sz w:val="18"/>
              </w:rPr>
              <w:t>&lt;0.001</w:t>
            </w:r>
          </w:p>
        </w:tc>
        <w:tc>
          <w:tcPr>
            <w:tcW w:type="dxa" w:w="1152"/>
          </w:tcPr>
          <w:p>
            <w:r/>
            <w:r>
              <w:rPr>
                <w:b/>
                <w:sz w:val="18"/>
              </w:rPr>
              <w:t>4.9%</w:t>
            </w:r>
          </w:p>
        </w:tc>
      </w:tr>
      <w:tr>
        <w:tc>
          <w:tcPr>
            <w:tcW w:type="dxa" w:w="864"/>
          </w:tcPr>
          <w:p>
            <w:r/>
            <w:r>
              <w:rPr>
                <w:b/>
                <w:sz w:val="18"/>
              </w:rPr>
              <w:t>50%</w:t>
            </w:r>
          </w:p>
        </w:tc>
        <w:tc>
          <w:tcPr>
            <w:tcW w:type="dxa" w:w="1728"/>
          </w:tcPr>
          <w:p>
            <w:r/>
            <w:r>
              <w:rPr>
                <w:b/>
                <w:sz w:val="18"/>
              </w:rPr>
              <w:t>Central</w:t>
            </w:r>
          </w:p>
        </w:tc>
        <w:tc>
          <w:tcPr>
            <w:tcW w:type="dxa" w:w="2160"/>
          </w:tcPr>
          <w:p>
            <w:r/>
            <w:r>
              <w:rPr>
                <w:b/>
                <w:sz w:val="18"/>
              </w:rPr>
              <w:t>45,333</w:t>
            </w:r>
          </w:p>
        </w:tc>
        <w:tc>
          <w:tcPr>
            <w:tcW w:type="dxa" w:w="2160"/>
          </w:tcPr>
          <w:p>
            <w:r/>
            <w:r>
              <w:rPr>
                <w:b/>
                <w:sz w:val="18"/>
              </w:rPr>
              <w:t>36,884 – 53,782</w:t>
            </w:r>
          </w:p>
        </w:tc>
        <w:tc>
          <w:tcPr>
            <w:tcW w:type="dxa" w:w="864"/>
          </w:tcPr>
          <w:p>
            <w:r/>
            <w:r>
              <w:rPr>
                <w:b/>
                <w:sz w:val="18"/>
              </w:rPr>
              <w:t>&lt;0.001</w:t>
            </w:r>
          </w:p>
        </w:tc>
        <w:tc>
          <w:tcPr>
            <w:tcW w:type="dxa" w:w="1152"/>
          </w:tcPr>
          <w:p>
            <w:r/>
            <w:r>
              <w:rPr>
                <w:b/>
                <w:sz w:val="18"/>
              </w:rPr>
              <w:t>6.2%</w:t>
            </w:r>
          </w:p>
        </w:tc>
      </w:tr>
      <w:tr>
        <w:tc>
          <w:tcPr>
            <w:tcW w:type="dxa" w:w="864"/>
          </w:tcPr>
          <w:p>
            <w:r/>
            <w:r>
              <w:rPr>
                <w:b/>
                <w:sz w:val="18"/>
              </w:rPr>
              <w:t>50%</w:t>
            </w:r>
          </w:p>
        </w:tc>
        <w:tc>
          <w:tcPr>
            <w:tcW w:type="dxa" w:w="1728"/>
          </w:tcPr>
          <w:p>
            <w:r/>
            <w:r>
              <w:rPr>
                <w:b/>
                <w:sz w:val="18"/>
              </w:rPr>
              <w:t>Optimistic</w:t>
            </w:r>
          </w:p>
        </w:tc>
        <w:tc>
          <w:tcPr>
            <w:tcW w:type="dxa" w:w="2160"/>
          </w:tcPr>
          <w:p>
            <w:r/>
            <w:r>
              <w:rPr>
                <w:b/>
                <w:sz w:val="18"/>
              </w:rPr>
              <w:t>75,191</w:t>
            </w:r>
          </w:p>
        </w:tc>
        <w:tc>
          <w:tcPr>
            <w:tcW w:type="dxa" w:w="2160"/>
          </w:tcPr>
          <w:p>
            <w:r/>
            <w:r>
              <w:rPr>
                <w:b/>
                <w:sz w:val="18"/>
              </w:rPr>
              <w:t>65,724 – 84,659</w:t>
            </w:r>
          </w:p>
        </w:tc>
        <w:tc>
          <w:tcPr>
            <w:tcW w:type="dxa" w:w="864"/>
          </w:tcPr>
          <w:p>
            <w:r/>
            <w:r>
              <w:rPr>
                <w:b/>
                <w:sz w:val="18"/>
              </w:rPr>
              <w:t>&lt;0.001</w:t>
            </w:r>
          </w:p>
        </w:tc>
        <w:tc>
          <w:tcPr>
            <w:tcW w:type="dxa" w:w="1152"/>
          </w:tcPr>
          <w:p>
            <w:r/>
            <w:r>
              <w:rPr>
                <w:b/>
                <w:sz w:val="18"/>
              </w:rPr>
              <w:t>10.3%</w:t>
            </w:r>
          </w:p>
        </w:tc>
      </w:tr>
    </w:tbl>
    <w:p/>
    <w:p>
      <w:r>
        <w:rPr>
          <w:i/>
          <w:sz w:val="18"/>
        </w:rPr>
        <w:t>Baseline (no chatbot): ~732,899 national AGYW HIV infections 2025–2035 (median; mean 727,129; IQR 696,130–762,040). Bold rows: 95% CI excludes zero. Estimates are mean infections averted over 96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 (Figure 4).</w:t>
      </w:r>
    </w:p>
    <w:p>
      <w:pPr>
        <w:pStyle w:val="Heading2"/>
      </w:pPr>
      <w:r>
        <w:t>PrEP delivery strategy: demand generation versus persistence support</w:t>
      </w:r>
    </w:p>
    <w:p>
      <w:r>
        <w:rPr>
          <w:i w:val="0"/>
        </w:rPr>
        <w:t>A secondary analysis decomposed the 50%-reach effect into demand generation, persistence support, and their combination (Figure 5; Table 3). Demand generation alone — the primary-analysis mechanism — averted 5.8% of AGYW infections (43,192; 95% CI 25,852–60,531) and raised PrEP coverage from ~3% to ~11%, but coverage plateaued as initiated women continuously discontinued. Persistence support alone, which recruited no new users, averted 1.0% (not significant), 3.7% (p = 0.009), and 5.1% (p &lt; 0.001) of infections at a 20%, 40%, and 60% reduction in discontinuation — approaching the impact of demand generation at the strongest assumption, despite barely changing overall PrEP coverage (≤3.2%). This efficiency arises because persistence support concentrates protection on the clinically-eligible, higher-risk women already on PrEP, extending their protected time rather than diluting coverage across lower-risk new initiators.</w:t>
      </w:r>
    </w:p>
    <w:p>
      <w:r>
        <w:rPr>
          <w:i w:val="0"/>
        </w:rPr>
        <w:t>Combining the two strategies was super-additive: at a 40% reduction in discontinuation, demand-plus-persistence averted 11.6% of infections (86,480; 95% CI 73,222–99,738) — exceeding the 9.4% expected if the levers were additive (synergy +2.1 percentage points) — and reached 14.5% at a 60% reduction, with PrEP coverage rising to ~15.5%. Recruiting more women and keeping them on PrEP compounded, because each additional initiator contributed more protected person-time.</w:t>
      </w:r>
    </w:p>
    <w:p>
      <w:r>
        <w:rPr>
          <w:b/>
          <w:sz w:val="20"/>
        </w:rPr>
        <w:t>Table 3. PrEP delivery strategy — demand vs persistence (50% reach, central initiation).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Strategy</w:t>
            </w:r>
          </w:p>
        </w:tc>
        <w:tc>
          <w:tcPr>
            <w:tcW w:type="dxa" w:w="1440"/>
          </w:tcPr>
          <w:p>
            <w:r/>
            <w:r>
              <w:rPr>
                <w:b/>
                <w:sz w:val="18"/>
              </w:rPr>
              <w:t>Disc. reduction</w:t>
            </w:r>
          </w:p>
        </w:tc>
        <w:tc>
          <w:tcPr>
            <w:tcW w:type="dxa" w:w="2304"/>
          </w:tcPr>
          <w:p>
            <w:r/>
            <w:r>
              <w:rPr>
                <w:b/>
                <w:sz w:val="18"/>
              </w:rPr>
              <w:t>Infections averted (mean)</w:t>
            </w:r>
          </w:p>
        </w:tc>
        <w:tc>
          <w:tcPr>
            <w:tcW w:type="dxa" w:w="2016"/>
          </w:tcPr>
          <w:p>
            <w:r/>
            <w:r>
              <w:rPr>
                <w:b/>
                <w:sz w:val="18"/>
              </w:rPr>
              <w:t>95% CI</w:t>
            </w:r>
          </w:p>
        </w:tc>
        <w:tc>
          <w:tcPr>
            <w:tcW w:type="dxa" w:w="864"/>
          </w:tcPr>
          <w:p>
            <w:r/>
            <w:r>
              <w:rPr>
                <w:b/>
                <w:sz w:val="18"/>
              </w:rPr>
              <w:t>p</w:t>
            </w:r>
          </w:p>
        </w:tc>
        <w:tc>
          <w:tcPr>
            <w:tcW w:type="dxa" w:w="1152"/>
          </w:tcPr>
          <w:p>
            <w:r/>
            <w:r>
              <w:rPr>
                <w:b/>
                <w:sz w:val="18"/>
              </w:rPr>
              <w:t>% averted</w:t>
            </w:r>
          </w:p>
        </w:tc>
      </w:tr>
      <w:tr>
        <w:tc>
          <w:tcPr>
            <w:tcW w:type="dxa" w:w="1872"/>
          </w:tcPr>
          <w:p>
            <w:r/>
            <w:r>
              <w:rPr>
                <w:b/>
                <w:sz w:val="18"/>
              </w:rPr>
              <w:t>Demand only</w:t>
            </w:r>
          </w:p>
        </w:tc>
        <w:tc>
          <w:tcPr>
            <w:tcW w:type="dxa" w:w="1440"/>
          </w:tcPr>
          <w:p>
            <w:r/>
            <w:r>
              <w:rPr>
                <w:b/>
                <w:sz w:val="18"/>
              </w:rPr>
              <w:t>—</w:t>
            </w:r>
          </w:p>
        </w:tc>
        <w:tc>
          <w:tcPr>
            <w:tcW w:type="dxa" w:w="2304"/>
          </w:tcPr>
          <w:p>
            <w:r/>
            <w:r>
              <w:rPr>
                <w:b/>
                <w:sz w:val="18"/>
              </w:rPr>
              <w:t>43,192</w:t>
            </w:r>
          </w:p>
        </w:tc>
        <w:tc>
          <w:tcPr>
            <w:tcW w:type="dxa" w:w="2016"/>
          </w:tcPr>
          <w:p>
            <w:r/>
            <w:r>
              <w:rPr>
                <w:b/>
                <w:sz w:val="18"/>
              </w:rPr>
              <w:t>25,852 – 60,531</w:t>
            </w:r>
          </w:p>
        </w:tc>
        <w:tc>
          <w:tcPr>
            <w:tcW w:type="dxa" w:w="864"/>
          </w:tcPr>
          <w:p>
            <w:r/>
            <w:r>
              <w:rPr>
                <w:b/>
                <w:sz w:val="18"/>
              </w:rPr>
              <w:t>&lt;0.001</w:t>
            </w:r>
          </w:p>
        </w:tc>
        <w:tc>
          <w:tcPr>
            <w:tcW w:type="dxa" w:w="1152"/>
          </w:tcPr>
          <w:p>
            <w:r/>
            <w:r>
              <w:rPr>
                <w:b/>
                <w:sz w:val="18"/>
              </w:rPr>
              <w:t>5.8%</w:t>
            </w:r>
          </w:p>
        </w:tc>
      </w:tr>
      <w:tr>
        <w:tc>
          <w:tcPr>
            <w:tcW w:type="dxa" w:w="1872"/>
          </w:tcPr>
          <w:p>
            <w:r/>
            <w:r>
              <w:rPr>
                <w:sz w:val="18"/>
              </w:rPr>
              <w:t>Persistence only</w:t>
            </w:r>
          </w:p>
        </w:tc>
        <w:tc>
          <w:tcPr>
            <w:tcW w:type="dxa" w:w="1440"/>
          </w:tcPr>
          <w:p>
            <w:r/>
            <w:r>
              <w:rPr>
                <w:sz w:val="18"/>
              </w:rPr>
              <w:t>20%</w:t>
            </w:r>
          </w:p>
        </w:tc>
        <w:tc>
          <w:tcPr>
            <w:tcW w:type="dxa" w:w="2304"/>
          </w:tcPr>
          <w:p>
            <w:r/>
            <w:r>
              <w:rPr>
                <w:sz w:val="18"/>
              </w:rPr>
              <w:t>7,310</w:t>
            </w:r>
          </w:p>
        </w:tc>
        <w:tc>
          <w:tcPr>
            <w:tcW w:type="dxa" w:w="2016"/>
          </w:tcPr>
          <w:p>
            <w:r/>
            <w:r>
              <w:rPr>
                <w:sz w:val="18"/>
              </w:rPr>
              <w:t>−9,864 – 24,483</w:t>
            </w:r>
          </w:p>
        </w:tc>
        <w:tc>
          <w:tcPr>
            <w:tcW w:type="dxa" w:w="864"/>
          </w:tcPr>
          <w:p>
            <w:r/>
            <w:r>
              <w:rPr>
                <w:sz w:val="18"/>
              </w:rPr>
              <w:t>0.388</w:t>
            </w:r>
          </w:p>
        </w:tc>
        <w:tc>
          <w:tcPr>
            <w:tcW w:type="dxa" w:w="1152"/>
          </w:tcPr>
          <w:p>
            <w:r/>
            <w:r>
              <w:rPr>
                <w:sz w:val="18"/>
              </w:rPr>
              <w:t>1.0%</w:t>
            </w:r>
          </w:p>
        </w:tc>
      </w:tr>
      <w:tr>
        <w:tc>
          <w:tcPr>
            <w:tcW w:type="dxa" w:w="1872"/>
          </w:tcPr>
          <w:p>
            <w:r/>
            <w:r>
              <w:rPr>
                <w:b/>
                <w:sz w:val="18"/>
              </w:rPr>
              <w:t>Persistence only</w:t>
            </w:r>
          </w:p>
        </w:tc>
        <w:tc>
          <w:tcPr>
            <w:tcW w:type="dxa" w:w="1440"/>
          </w:tcPr>
          <w:p>
            <w:r/>
            <w:r>
              <w:rPr>
                <w:b/>
                <w:sz w:val="18"/>
              </w:rPr>
              <w:t>40%</w:t>
            </w:r>
          </w:p>
        </w:tc>
        <w:tc>
          <w:tcPr>
            <w:tcW w:type="dxa" w:w="2304"/>
          </w:tcPr>
          <w:p>
            <w:r/>
            <w:r>
              <w:rPr>
                <w:b/>
                <w:sz w:val="18"/>
              </w:rPr>
              <w:t>27,465</w:t>
            </w:r>
          </w:p>
        </w:tc>
        <w:tc>
          <w:tcPr>
            <w:tcW w:type="dxa" w:w="2016"/>
          </w:tcPr>
          <w:p>
            <w:r/>
            <w:r>
              <w:rPr>
                <w:b/>
                <w:sz w:val="18"/>
              </w:rPr>
              <w:t>7,623 – 47,306</w:t>
            </w:r>
          </w:p>
        </w:tc>
        <w:tc>
          <w:tcPr>
            <w:tcW w:type="dxa" w:w="864"/>
          </w:tcPr>
          <w:p>
            <w:r/>
            <w:r>
              <w:rPr>
                <w:b/>
                <w:sz w:val="18"/>
              </w:rPr>
              <w:t>0.009</w:t>
            </w:r>
          </w:p>
        </w:tc>
        <w:tc>
          <w:tcPr>
            <w:tcW w:type="dxa" w:w="1152"/>
          </w:tcPr>
          <w:p>
            <w:r/>
            <w:r>
              <w:rPr>
                <w:b/>
                <w:sz w:val="18"/>
              </w:rPr>
              <w:t>3.7%</w:t>
            </w:r>
          </w:p>
        </w:tc>
      </w:tr>
      <w:tr>
        <w:tc>
          <w:tcPr>
            <w:tcW w:type="dxa" w:w="1872"/>
          </w:tcPr>
          <w:p>
            <w:r/>
            <w:r>
              <w:rPr>
                <w:b/>
                <w:sz w:val="18"/>
              </w:rPr>
              <w:t>Persistence only</w:t>
            </w:r>
          </w:p>
        </w:tc>
        <w:tc>
          <w:tcPr>
            <w:tcW w:type="dxa" w:w="1440"/>
          </w:tcPr>
          <w:p>
            <w:r/>
            <w:r>
              <w:rPr>
                <w:b/>
                <w:sz w:val="18"/>
              </w:rPr>
              <w:t>60%</w:t>
            </w:r>
          </w:p>
        </w:tc>
        <w:tc>
          <w:tcPr>
            <w:tcW w:type="dxa" w:w="2304"/>
          </w:tcPr>
          <w:p>
            <w:r/>
            <w:r>
              <w:rPr>
                <w:b/>
                <w:sz w:val="18"/>
              </w:rPr>
              <w:t>38,010</w:t>
            </w:r>
          </w:p>
        </w:tc>
        <w:tc>
          <w:tcPr>
            <w:tcW w:type="dxa" w:w="2016"/>
          </w:tcPr>
          <w:p>
            <w:r/>
            <w:r>
              <w:rPr>
                <w:b/>
                <w:sz w:val="18"/>
              </w:rPr>
              <w:t>22,275 – 53,746</w:t>
            </w:r>
          </w:p>
        </w:tc>
        <w:tc>
          <w:tcPr>
            <w:tcW w:type="dxa" w:w="864"/>
          </w:tcPr>
          <w:p>
            <w:r/>
            <w:r>
              <w:rPr>
                <w:b/>
                <w:sz w:val="18"/>
              </w:rPr>
              <w:t>&lt;0.001</w:t>
            </w:r>
          </w:p>
        </w:tc>
        <w:tc>
          <w:tcPr>
            <w:tcW w:type="dxa" w:w="1152"/>
          </w:tcPr>
          <w:p>
            <w:r/>
            <w:r>
              <w:rPr>
                <w:b/>
                <w:sz w:val="18"/>
              </w:rPr>
              <w:t>5.1%</w:t>
            </w:r>
          </w:p>
        </w:tc>
      </w:tr>
      <w:tr>
        <w:tc>
          <w:tcPr>
            <w:tcW w:type="dxa" w:w="1872"/>
          </w:tcPr>
          <w:p>
            <w:r/>
            <w:r>
              <w:rPr>
                <w:b/>
                <w:sz w:val="18"/>
              </w:rPr>
              <w:t>Both</w:t>
            </w:r>
          </w:p>
        </w:tc>
        <w:tc>
          <w:tcPr>
            <w:tcW w:type="dxa" w:w="1440"/>
          </w:tcPr>
          <w:p>
            <w:r/>
            <w:r>
              <w:rPr>
                <w:b/>
                <w:sz w:val="18"/>
              </w:rPr>
              <w:t>20%</w:t>
            </w:r>
          </w:p>
        </w:tc>
        <w:tc>
          <w:tcPr>
            <w:tcW w:type="dxa" w:w="2304"/>
          </w:tcPr>
          <w:p>
            <w:r/>
            <w:r>
              <w:rPr>
                <w:b/>
                <w:sz w:val="18"/>
              </w:rPr>
              <w:t>77,035</w:t>
            </w:r>
          </w:p>
        </w:tc>
        <w:tc>
          <w:tcPr>
            <w:tcW w:type="dxa" w:w="2016"/>
          </w:tcPr>
          <w:p>
            <w:r/>
            <w:r>
              <w:rPr>
                <w:b/>
                <w:sz w:val="18"/>
              </w:rPr>
              <w:t>63,437 – 90,633</w:t>
            </w:r>
          </w:p>
        </w:tc>
        <w:tc>
          <w:tcPr>
            <w:tcW w:type="dxa" w:w="864"/>
          </w:tcPr>
          <w:p>
            <w:r/>
            <w:r>
              <w:rPr>
                <w:b/>
                <w:sz w:val="18"/>
              </w:rPr>
              <w:t>&lt;0.001</w:t>
            </w:r>
          </w:p>
        </w:tc>
        <w:tc>
          <w:tcPr>
            <w:tcW w:type="dxa" w:w="1152"/>
          </w:tcPr>
          <w:p>
            <w:r/>
            <w:r>
              <w:rPr>
                <w:b/>
                <w:sz w:val="18"/>
              </w:rPr>
              <w:t>10.3%</w:t>
            </w:r>
          </w:p>
        </w:tc>
      </w:tr>
      <w:tr>
        <w:tc>
          <w:tcPr>
            <w:tcW w:type="dxa" w:w="1872"/>
          </w:tcPr>
          <w:p>
            <w:r/>
            <w:r>
              <w:rPr>
                <w:b/>
                <w:sz w:val="18"/>
              </w:rPr>
              <w:t>Both</w:t>
            </w:r>
          </w:p>
        </w:tc>
        <w:tc>
          <w:tcPr>
            <w:tcW w:type="dxa" w:w="1440"/>
          </w:tcPr>
          <w:p>
            <w:r/>
            <w:r>
              <w:rPr>
                <w:b/>
                <w:sz w:val="18"/>
              </w:rPr>
              <w:t>40%</w:t>
            </w:r>
          </w:p>
        </w:tc>
        <w:tc>
          <w:tcPr>
            <w:tcW w:type="dxa" w:w="2304"/>
          </w:tcPr>
          <w:p>
            <w:r/>
            <w:r>
              <w:rPr>
                <w:b/>
                <w:sz w:val="18"/>
              </w:rPr>
              <w:t>86,480</w:t>
            </w:r>
          </w:p>
        </w:tc>
        <w:tc>
          <w:tcPr>
            <w:tcW w:type="dxa" w:w="2016"/>
          </w:tcPr>
          <w:p>
            <w:r/>
            <w:r>
              <w:rPr>
                <w:b/>
                <w:sz w:val="18"/>
              </w:rPr>
              <w:t>73,222 – 99,738</w:t>
            </w:r>
          </w:p>
        </w:tc>
        <w:tc>
          <w:tcPr>
            <w:tcW w:type="dxa" w:w="864"/>
          </w:tcPr>
          <w:p>
            <w:r/>
            <w:r>
              <w:rPr>
                <w:b/>
                <w:sz w:val="18"/>
              </w:rPr>
              <w:t>&lt;0.001</w:t>
            </w:r>
          </w:p>
        </w:tc>
        <w:tc>
          <w:tcPr>
            <w:tcW w:type="dxa" w:w="1152"/>
          </w:tcPr>
          <w:p>
            <w:r/>
            <w:r>
              <w:rPr>
                <w:b/>
                <w:sz w:val="18"/>
              </w:rPr>
              <w:t>11.6%</w:t>
            </w:r>
          </w:p>
        </w:tc>
      </w:tr>
      <w:tr>
        <w:tc>
          <w:tcPr>
            <w:tcW w:type="dxa" w:w="1872"/>
          </w:tcPr>
          <w:p>
            <w:r/>
            <w:r>
              <w:rPr>
                <w:b/>
                <w:sz w:val="18"/>
              </w:rPr>
              <w:t>Both</w:t>
            </w:r>
          </w:p>
        </w:tc>
        <w:tc>
          <w:tcPr>
            <w:tcW w:type="dxa" w:w="1440"/>
          </w:tcPr>
          <w:p>
            <w:r/>
            <w:r>
              <w:rPr>
                <w:b/>
                <w:sz w:val="18"/>
              </w:rPr>
              <w:t>60%</w:t>
            </w:r>
          </w:p>
        </w:tc>
        <w:tc>
          <w:tcPr>
            <w:tcW w:type="dxa" w:w="2304"/>
          </w:tcPr>
          <w:p>
            <w:r/>
            <w:r>
              <w:rPr>
                <w:b/>
                <w:sz w:val="18"/>
              </w:rPr>
              <w:t>108,253</w:t>
            </w:r>
          </w:p>
        </w:tc>
        <w:tc>
          <w:tcPr>
            <w:tcW w:type="dxa" w:w="2016"/>
          </w:tcPr>
          <w:p>
            <w:r/>
            <w:r>
              <w:rPr>
                <w:b/>
                <w:sz w:val="18"/>
              </w:rPr>
              <w:t>90,444 – 126,063</w:t>
            </w:r>
          </w:p>
        </w:tc>
        <w:tc>
          <w:tcPr>
            <w:tcW w:type="dxa" w:w="864"/>
          </w:tcPr>
          <w:p>
            <w:r/>
            <w:r>
              <w:rPr>
                <w:b/>
                <w:sz w:val="18"/>
              </w:rPr>
              <w:t>&lt;0.001</w:t>
            </w:r>
          </w:p>
        </w:tc>
        <w:tc>
          <w:tcPr>
            <w:tcW w:type="dxa" w:w="1152"/>
          </w:tcPr>
          <w:p>
            <w:r/>
            <w:r>
              <w:rPr>
                <w:b/>
                <w:sz w:val="18"/>
              </w:rPr>
              <w:t>14.5%</w:t>
            </w:r>
          </w:p>
        </w:tc>
      </w:tr>
    </w:tbl>
    <w:p/>
    <w:p>
      <w:r>
        <w:rPr>
          <w:i/>
          <w:sz w:val="18"/>
        </w:rPr>
        <w:t>Baseline ~747,703 national AGYW infections. Demand only = expand eligibility + boost initiation; Persistence only = reduce discontinuation among reached AGYW on PrEP (no new initiation); Both = combined. Testing held at baseline. Bold rows: 95% CI excludes zero. 96 paired replicates, population 20,000. The persistence effect is a literature-informed scenario range, not a cohort estimate.</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45,000–75,000 infections nationally over a decade. The effect was statistically supported in eight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Our implementation-strategy analysis makes this concrete and carries a direct programmatic message. The conventional framing of a digital health tool — as a demand-generation channel that drives people to initiate PrEP — captured only part of its potential value. Retention support alone, keeping already-eligible higher-risk young women on PrEP, approached the impact of demand generation (5.1% vs 5.8% of infections averted at the strongest assumption) while barely changing measured coverage, because it concentrates protection on the women at greatest risk rather than diluting it across new lower-risk initiators. Combining demand with retention was super-additive, averting up to 14.5% of infections — more than the sum of the two levers applied separately. Because oral-PrEP continuation among South African AGYW is poor, a chatbot that sustains use — through reminders, side-effect counselling, refill navigation, or steering toward long-acting formulations — may convert the same engagement into more averted infections than initiation messaging alone, and programmes that pair demand generation with retention support should expect more than the sum of their parts. We caution that the persistence effect was not measured in the cohort, which yields an initiation hazard ratio, and was explored as a literature-informed scenario range; quantifying the chatbot's true effect on PrEP continuation is a priority for future data collection and randomised evaluation.</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and effect sizes. [Complete citation.]</w:t>
      </w:r>
    </w:p>
    <w:p>
      <w:pPr>
        <w:ind w:left="432" w:hanging="432"/>
      </w:pPr>
      <w:r>
        <w:rPr>
          <w:sz w:val="20"/>
        </w:rPr>
        <w:t>2. Jenness SM, Goodreau SM, Morris M. EpiModel: An R Package for Mathematical Modeling of Infectious Disease over Networks. J Stat Softw. 2018;84(8):1–47.</w:t>
      </w:r>
    </w:p>
    <w:p>
      <w:pPr>
        <w:ind w:left="432" w:hanging="432"/>
      </w:pPr>
      <w:r>
        <w:rPr>
          <w:sz w:val="20"/>
        </w:rPr>
        <w:t>3. Morris M, Kretzschmar M. Concurrent partnerships and the spread of HIV. AIDS. 1997;11(5):641–648.</w:t>
      </w:r>
    </w:p>
    <w:p>
      <w:pPr>
        <w:ind w:left="432" w:hanging="432"/>
      </w:pPr>
      <w:r>
        <w:rPr>
          <w:sz w:val="20"/>
        </w:rPr>
        <w:t>4. R Core Team. R: A Language and Environment for Statistical Computing. R Foundation for Statistical Computing; 2024.</w:t>
      </w:r>
    </w:p>
    <w:p>
      <w:pPr>
        <w:ind w:left="432" w:hanging="432"/>
      </w:pPr>
      <w:r>
        <w:rPr>
          <w:sz w:val="20"/>
        </w:rPr>
        <w:t>5. Handcock MS, Hunter DR, Butts CT, Goodreau SM, Morris M. statnet: Software tools for the representation, visualization, analysis and simulation of network data. J Stat Softw. 2008;24(1).</w:t>
      </w:r>
    </w:p>
    <w:p>
      <w:pPr>
        <w:ind w:left="432" w:hanging="432"/>
      </w:pPr>
      <w:r>
        <w:rPr>
          <w:sz w:val="20"/>
        </w:rPr>
        <w:t>6. Johnson LF, Dorrington RE. Thembisa version 5.0: A model for evaluating the impact of HIV/AIDS in South Africa. University of Cape Town; 2024. https://www.thembisa.org.</w:t>
      </w:r>
    </w:p>
    <w:p>
      <w:pPr>
        <w:ind w:left="432" w:hanging="432"/>
      </w:pPr>
      <w:r>
        <w:rPr>
          <w:sz w:val="20"/>
        </w:rPr>
        <w:t>7. Human Sciences Research Council. The Sixth South African National HIV Prevalence, Incidence, Behaviour and Communication Survey (SABSSM VI), 2022. HSRC; 2023.</w:t>
      </w:r>
    </w:p>
    <w:p>
      <w:pPr>
        <w:ind w:left="432" w:hanging="432"/>
      </w:pPr>
      <w:r>
        <w:rPr>
          <w:sz w:val="20"/>
        </w:rPr>
        <w:t>8. Maughan-Brown B, Kenyon C, Lurie MN. Partner age differences and concurrency in South Africa: Implications for HIV-infection risk among young women. AIDS Behav. 2014;18(12):2469–2476.</w:t>
      </w:r>
    </w:p>
    <w:p>
      <w:pPr>
        <w:ind w:left="432" w:hanging="432"/>
      </w:pPr>
      <w:r>
        <w:rPr>
          <w:sz w:val="20"/>
        </w:rPr>
        <w:t>9. [HPTN 068] Age-disparate partnerships and incident HIV infection in adolescent girls and young women in rural South Africa. AIDS. 2019;33(1).</w:t>
      </w:r>
    </w:p>
    <w:p>
      <w:pPr>
        <w:ind w:left="432" w:hanging="432"/>
      </w:pPr>
      <w:r>
        <w:rPr>
          <w:sz w:val="20"/>
        </w:rPr>
        <w:t>10. [EMOD-HIV western Kenya] Health and economic impact of oral PrEP provision across subgroups in western Kenya: a modelling analysis. 2025. [PubMed 39800385.]</w:t>
      </w:r>
    </w:p>
    <w:p>
      <w:pPr>
        <w:ind w:left="432" w:hanging="432"/>
      </w:pPr>
      <w:r>
        <w:rPr>
          <w:sz w:val="20"/>
        </w:rPr>
        <w:t>11. EpiModel PrEP intervention studies (initiation/adherence/persistence; percent infections averted). EpiModel/PrEP-Optimize and related publications.</w:t>
      </w:r>
    </w:p>
    <w:p>
      <w:pPr>
        <w:ind w:left="432" w:hanging="432"/>
      </w:pPr>
      <w:r>
        <w:rPr>
          <w:sz w:val="20"/>
        </w:rPr>
        <w:t>12. Noise-free comparison of stochastic agent-based simulations using common random numbers. 2024. arXiv:2409.02086.</w:t>
      </w:r>
    </w:p>
    <w:p>
      <w:pPr>
        <w:ind w:left="432" w:hanging="432"/>
      </w:pPr>
      <w:r>
        <w:rPr>
          <w:sz w:val="20"/>
        </w:rPr>
        <w:t>13. [PrEP efficacy] — relevant oral TDF/FTC or injectable cabotegravir/lenacapavir trial for the per-act efficacy assumption. [Complete citation.]</w:t>
      </w:r>
    </w:p>
    <w:p>
      <w:pPr>
        <w:ind w:left="432" w:hanging="432"/>
      </w:pPr>
      <w:r>
        <w:rPr>
          <w:sz w:val="20"/>
        </w:rPr>
        <w:t>14. [ART treatment-as-prevention] HPTN 052 or equivalent for the near-zero infectiousness of virally suppressed individuals. [Complete citation.]</w:t>
      </w:r>
    </w:p>
    <w:p>
      <w:r>
        <w:br w:type="page"/>
      </w:r>
    </w:p>
    <w:p>
      <w:pPr>
        <w:pStyle w:val="Heading1"/>
      </w:pPr>
      <w:r>
        <w:t>Figures</w:t>
      </w:r>
    </w:p>
    <w:p>
      <w:pPr>
        <w:jc w:val="center"/>
      </w:pPr>
      <w:r>
        <w:drawing>
          <wp:inline xmlns:a="http://schemas.openxmlformats.org/drawingml/2006/main" xmlns:pic="http://schemas.openxmlformats.org/drawingml/2006/picture">
            <wp:extent cx="5943600" cy="1920240"/>
            <wp:docPr id="1" name="Picture 1"/>
            <wp:cNvGraphicFramePr>
              <a:graphicFrameLocks noChangeAspect="1"/>
            </wp:cNvGraphicFramePr>
            <a:graphic>
              <a:graphicData uri="http://schemas.openxmlformats.org/drawingml/2006/picture">
                <pic:pic>
                  <pic:nvPicPr>
                    <pic:cNvPr id="0" name="calib_ci.png"/>
                    <pic:cNvPicPr/>
                  </pic:nvPicPr>
                  <pic:blipFill>
                    <a:blip r:embed="rId9"/>
                    <a:stretch>
                      <a:fillRect/>
                    </a:stretch>
                  </pic:blipFill>
                  <pic:spPr>
                    <a:xfrm>
                      <a:off x="0" y="0"/>
                      <a:ext cx="5943600" cy="1920240"/>
                    </a:xfrm>
                    <a:prstGeom prst="rect"/>
                  </pic:spPr>
                </pic:pic>
              </a:graphicData>
            </a:graphic>
          </wp:inline>
        </w:drawing>
      </w:r>
    </w:p>
    <w:p>
      <w:pPr>
        <w:jc w:val="left"/>
      </w:pPr>
      <w:r>
        <w:rPr>
          <w:b/>
          <w:sz w:val="18"/>
        </w:rPr>
        <w:t xml:space="preserve">Figure 1. </w:t>
      </w:r>
      <w:r>
        <w:rPr>
          <w:sz w:val="18"/>
        </w:rPr>
        <w:t>Model calibration to the South African HIV epidemic, 1990–2022. Simulated HIV prevalence among women 15–24 and adults 15–49, and HIV incidence among women 15–24 (median and 95% simulation interval across replicates), against Thembisa v5.0 targets. The calibrated model (per-act transmission probability 0.0035) reproduced the rise, peak, and ART-era decline of the epidemic (trajectory RMSE 0.031).</w:t>
      </w:r>
    </w:p>
    <w:p/>
    <w:p>
      <w:pPr>
        <w:jc w:val="center"/>
      </w:pPr>
      <w:r>
        <w:drawing>
          <wp:inline xmlns:a="http://schemas.openxmlformats.org/drawingml/2006/main" xmlns:pic="http://schemas.openxmlformats.org/drawingml/2006/picture">
            <wp:extent cx="5943600" cy="3302000"/>
            <wp:docPr id="2" name="Picture 2"/>
            <wp:cNvGraphicFramePr>
              <a:graphicFrameLocks noChangeAspect="1"/>
            </wp:cNvGraphicFramePr>
            <a:graphic>
              <a:graphicData uri="http://schemas.openxmlformats.org/drawingml/2006/picture">
                <pic:pic>
                  <pic:nvPicPr>
                    <pic:cNvPr id="0" name="intervention.png"/>
                    <pic:cNvPicPr/>
                  </pic:nvPicPr>
                  <pic:blipFill>
                    <a:blip r:embed="rId10"/>
                    <a:stretch>
                      <a:fillRect/>
                    </a:stretch>
                  </pic:blipFill>
                  <pic:spPr>
                    <a:xfrm>
                      <a:off x="0" y="0"/>
                      <a:ext cx="5943600" cy="3302000"/>
                    </a:xfrm>
                    <a:prstGeom prst="rect"/>
                  </pic:spPr>
                </pic:pic>
              </a:graphicData>
            </a:graphic>
          </wp:inline>
        </w:drawing>
      </w:r>
    </w:p>
    <w:p>
      <w:pPr>
        <w:jc w:val="left"/>
      </w:pPr>
      <w:r>
        <w:rPr>
          <w:b/>
          <w:sz w:val="18"/>
        </w:rPr>
        <w:t xml:space="preserve">Figure 2. </w:t>
      </w:r>
      <w:r>
        <w:rPr>
          <w:sz w:val="18"/>
        </w:rPr>
        <w:t>AGYW HIV infections averted by the Aimee chatbot, 2025–2035, by reach and causal fraction. Bars are mean infections averted over 96 paired (common-random-number) replicates; whiskers are 95% confidence intervals from a paired t test. The SA-realistic baseline projected ~733,000 AGYW infections over the decade.</w:t>
      </w:r>
    </w:p>
    <w:p/>
    <w:p>
      <w:pPr>
        <w:jc w:val="center"/>
      </w:pPr>
      <w:r>
        <w:drawing>
          <wp:inline xmlns:a="http://schemas.openxmlformats.org/drawingml/2006/main" xmlns:pic="http://schemas.openxmlformats.org/drawingml/2006/picture">
            <wp:extent cx="5943600" cy="1901952"/>
            <wp:docPr id="3" name="Picture 3"/>
            <wp:cNvGraphicFramePr>
              <a:graphicFrameLocks noChangeAspect="1"/>
            </wp:cNvGraphicFramePr>
            <a:graphic>
              <a:graphicData uri="http://schemas.openxmlformats.org/drawingml/2006/picture">
                <pic:pic>
                  <pic:nvPicPr>
                    <pic:cNvPr id="0" name="intervention_views.png"/>
                    <pic:cNvPicPr/>
                  </pic:nvPicPr>
                  <pic:blipFill>
                    <a:blip r:embed="rId11"/>
                    <a:stretch>
                      <a:fillRect/>
                    </a:stretch>
                  </pic:blipFill>
                  <pic:spPr>
                    <a:xfrm>
                      <a:off x="0" y="0"/>
                      <a:ext cx="5943600" cy="1901952"/>
                    </a:xfrm>
                    <a:prstGeom prst="rect"/>
                  </pic:spPr>
                </pic:pic>
              </a:graphicData>
            </a:graphic>
          </wp:inline>
        </w:drawing>
      </w:r>
    </w:p>
    <w:p>
      <w:pPr>
        <w:jc w:val="left"/>
      </w:pPr>
      <w:r>
        <w:rPr>
          <w:b/>
          <w:sz w:val="18"/>
        </w:rPr>
        <w:t xml:space="preserve">Figure 3. </w:t>
      </w:r>
      <w:r>
        <w:rPr>
          <w:sz w:val="18"/>
        </w:rPr>
        <w:t>Dose–response and efficiency. (A) Percentage of AGYW infections averted across the reach × causal-fraction grid. (B) Dose–response: percentage averted rises with reach (bars, 95% CI). (C) Efficiency (AGYW reached per infection averted; lower is more efficient); triangular markers denote scenarios whose upper CI extends off-scale because the effect is near zero and efficiency is undefined.</w:t>
      </w:r>
    </w:p>
    <w:p/>
    <w:p>
      <w:pPr>
        <w:jc w:val="center"/>
      </w:pPr>
      <w:r>
        <w:drawing>
          <wp:inline xmlns:a="http://schemas.openxmlformats.org/drawingml/2006/main" xmlns:pic="http://schemas.openxmlformats.org/drawingml/2006/picture">
            <wp:extent cx="5943600" cy="2122714"/>
            <wp:docPr id="4" name="Picture 4"/>
            <wp:cNvGraphicFramePr>
              <a:graphicFrameLocks noChangeAspect="1"/>
            </wp:cNvGraphicFramePr>
            <a:graphic>
              <a:graphicData uri="http://schemas.openxmlformats.org/drawingml/2006/picture">
                <pic:pic>
                  <pic:nvPicPr>
                    <pic:cNvPr id="0" name="trajectories_combined.png"/>
                    <pic:cNvPicPr/>
                  </pic:nvPicPr>
                  <pic:blipFill>
                    <a:blip r:embed="rId12"/>
                    <a:stretch>
                      <a:fillRect/>
                    </a:stretch>
                  </pic:blipFill>
                  <pic:spPr>
                    <a:xfrm>
                      <a:off x="0" y="0"/>
                      <a:ext cx="5943600" cy="2122714"/>
                    </a:xfrm>
                    <a:prstGeom prst="rect"/>
                  </pic:spPr>
                </pic:pic>
              </a:graphicData>
            </a:graphic>
          </wp:inline>
        </w:drawing>
      </w:r>
    </w:p>
    <w:p>
      <w:pPr>
        <w:jc w:val="left"/>
      </w:pPr>
      <w:r>
        <w:rPr>
          <w:b/>
          <w:sz w:val="18"/>
        </w:rPr>
        <w:t xml:space="preserve">Figure 4. </w:t>
      </w:r>
      <w:r>
        <w:rPr>
          <w:sz w:val="18"/>
        </w:rPr>
        <w:t>Mechanism of impact. (A) AGYW HIV incidence trajectories — baseline versus chatbot scenarios — diverging after the 2025 introduction. (B) AGYW PrEP coverage, which rises from ~3% to roughly 8–14% depending on reach and causal fraction. Lines are medians; shaded bands are 95% simulation intervals.</w:t>
      </w:r>
    </w:p>
    <w:p/>
    <w:p>
      <w:pPr>
        <w:jc w:val="center"/>
      </w:pPr>
      <w:r>
        <w:drawing>
          <wp:inline xmlns:a="http://schemas.openxmlformats.org/drawingml/2006/main" xmlns:pic="http://schemas.openxmlformats.org/drawingml/2006/picture">
            <wp:extent cx="5943600" cy="1981200"/>
            <wp:docPr id="5" name="Picture 5"/>
            <wp:cNvGraphicFramePr>
              <a:graphicFrameLocks noChangeAspect="1"/>
            </wp:cNvGraphicFramePr>
            <a:graphic>
              <a:graphicData uri="http://schemas.openxmlformats.org/drawingml/2006/picture">
                <pic:pic>
                  <pic:nvPicPr>
                    <pic:cNvPr id="0" name="persistence_combined.png"/>
                    <pic:cNvPicPr/>
                  </pic:nvPicPr>
                  <pic:blipFill>
                    <a:blip r:embed="rId13"/>
                    <a:stretch>
                      <a:fillRect/>
                    </a:stretch>
                  </pic:blipFill>
                  <pic:spPr>
                    <a:xfrm>
                      <a:off x="0" y="0"/>
                      <a:ext cx="5943600" cy="1981200"/>
                    </a:xfrm>
                    <a:prstGeom prst="rect"/>
                  </pic:spPr>
                </pic:pic>
              </a:graphicData>
            </a:graphic>
          </wp:inline>
        </w:drawing>
      </w:r>
    </w:p>
    <w:p>
      <w:pPr>
        <w:jc w:val="left"/>
      </w:pPr>
      <w:r>
        <w:rPr>
          <w:b/>
          <w:sz w:val="18"/>
        </w:rPr>
        <w:t xml:space="preserve">Figure 5. </w:t>
      </w:r>
      <w:r>
        <w:rPr>
          <w:sz w:val="18"/>
        </w:rPr>
        <w:t>PrEP delivery strategy — demand generation versus persistence support (50% reach, central initiation). (A) AGYW infections averted by strategy: demand generation, persistence support (20/40/60% reduction in discontinuation), and both combined (mean, 95% t-CI). (B) AGYW PrEP coverage by strategy: demand generation raises coverage to ~11% but it plateaus; persistence support barely changes coverage yet averts comparable infections by retaining higher-risk women already on PrEP; the combined strategy is highest (~15.5%).</w:t>
      </w:r>
    </w:p>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t>Parameter</w:t>
            </w:r>
          </w:p>
        </w:tc>
        <w:tc>
          <w:tcPr>
            <w:tcW w:type="dxa" w:w="2160"/>
          </w:tcPr>
          <w:p>
            <w:r/>
            <w:r>
              <w:rPr>
                <w:b/>
                <w:sz w:val="18"/>
              </w:rPr>
              <w:t>Value</w:t>
            </w:r>
          </w:p>
        </w:tc>
        <w:tc>
          <w:tcPr>
            <w:tcW w:type="dxa" w:w="3600"/>
          </w:tcPr>
          <w:p>
            <w:r/>
            <w:r>
              <w:rPr>
                <w:b/>
                <w:sz w:val="18"/>
              </w:rPr>
              <w:t>Source / note</w:t>
            </w:r>
          </w:p>
        </w:tc>
      </w:tr>
      <w:tr>
        <w:tc>
          <w:tcPr>
            <w:tcW w:type="dxa" w:w="3744"/>
          </w:tcPr>
          <w:p>
            <w:r/>
            <w:r>
              <w:rPr>
                <w:sz w:val="18"/>
              </w:rPr>
              <w:t>Per-act transmission probability</w:t>
            </w:r>
          </w:p>
        </w:tc>
        <w:tc>
          <w:tcPr>
            <w:tcW w:type="dxa" w:w="2160"/>
          </w:tcPr>
          <w:p>
            <w:r/>
            <w:r>
              <w:rPr>
                <w:sz w:val="18"/>
              </w:rPr>
              <w:t>0.0035</w:t>
            </w:r>
          </w:p>
        </w:tc>
        <w:tc>
          <w:tcPr>
            <w:tcW w:type="dxa" w:w="3600"/>
          </w:tcPr>
          <w:p>
            <w:r/>
            <w:r>
              <w:rPr>
                <w:sz w:val="18"/>
              </w:rPr>
              <w:t>Calibrated to SA trajectory</w:t>
            </w:r>
          </w:p>
        </w:tc>
      </w:tr>
      <w:tr>
        <w:tc>
          <w:tcPr>
            <w:tcW w:type="dxa" w:w="3744"/>
          </w:tcPr>
          <w:p>
            <w:r/>
            <w:r>
              <w:rPr>
                <w:sz w:val="18"/>
              </w:rPr>
              <w:t>Sex acts per week, main / casual</w:t>
            </w:r>
          </w:p>
        </w:tc>
        <w:tc>
          <w:tcPr>
            <w:tcW w:type="dxa" w:w="2160"/>
          </w:tcPr>
          <w:p>
            <w:r/>
            <w:r>
              <w:rPr>
                <w:sz w:val="18"/>
              </w:rPr>
              <w:t>5 / 2</w:t>
            </w:r>
          </w:p>
        </w:tc>
        <w:tc>
          <w:tcPr>
            <w:tcW w:type="dxa" w:w="3600"/>
          </w:tcPr>
          <w:p>
            <w:r/>
            <w:r>
              <w:rPr>
                <w:sz w:val="18"/>
              </w:rPr>
              <w:t>Calibrated (plausible range)</w:t>
            </w:r>
          </w:p>
        </w:tc>
      </w:tr>
      <w:tr>
        <w:tc>
          <w:tcPr>
            <w:tcW w:type="dxa" w:w="3744"/>
          </w:tcPr>
          <w:p>
            <w:r/>
            <w:r>
              <w:rPr>
                <w:sz w:val="18"/>
              </w:rPr>
              <w:t>Relative infectiousness, acute / AIDS</w:t>
            </w:r>
          </w:p>
        </w:tc>
        <w:tc>
          <w:tcPr>
            <w:tcW w:type="dxa" w:w="2160"/>
          </w:tcPr>
          <w:p>
            <w:r/>
            <w:r>
              <w:rPr>
                <w:sz w:val="18"/>
              </w:rPr>
              <w:t>5× / 2×</w:t>
            </w:r>
          </w:p>
        </w:tc>
        <w:tc>
          <w:tcPr>
            <w:tcW w:type="dxa" w:w="3600"/>
          </w:tcPr>
          <w:p>
            <w:r/>
            <w:r>
              <w:rPr>
                <w:sz w:val="18"/>
              </w:rPr>
              <w:t>Literature</w:t>
            </w:r>
          </w:p>
        </w:tc>
      </w:tr>
      <w:tr>
        <w:tc>
          <w:tcPr>
            <w:tcW w:type="dxa" w:w="3744"/>
          </w:tcPr>
          <w:p>
            <w:r/>
            <w:r>
              <w:rPr>
                <w:sz w:val="18"/>
              </w:rPr>
              <w:t>Rel. infectiousness on ART, unsupp. / supp.</w:t>
            </w:r>
          </w:p>
        </w:tc>
        <w:tc>
          <w:tcPr>
            <w:tcW w:type="dxa" w:w="2160"/>
          </w:tcPr>
          <w:p>
            <w:r/>
            <w:r>
              <w:rPr>
                <w:sz w:val="18"/>
              </w:rPr>
              <w:t>0.30 / 0.01</w:t>
            </w:r>
          </w:p>
        </w:tc>
        <w:tc>
          <w:tcPr>
            <w:tcW w:type="dxa" w:w="3600"/>
          </w:tcPr>
          <w:p>
            <w:r/>
            <w:r>
              <w:rPr>
                <w:sz w:val="18"/>
              </w:rPr>
              <w:t>Literature (TasP)</w:t>
            </w:r>
          </w:p>
        </w:tc>
      </w:tr>
      <w:tr>
        <w:tc>
          <w:tcPr>
            <w:tcW w:type="dxa" w:w="3744"/>
          </w:tcPr>
          <w:p>
            <w:r/>
            <w:r>
              <w:rPr>
                <w:sz w:val="18"/>
              </w:rPr>
              <w:t>AGYW susceptibility, 15–19 / 20–24</w:t>
            </w:r>
          </w:p>
        </w:tc>
        <w:tc>
          <w:tcPr>
            <w:tcW w:type="dxa" w:w="2160"/>
          </w:tcPr>
          <w:p>
            <w:r/>
            <w:r>
              <w:rPr>
                <w:sz w:val="18"/>
              </w:rPr>
              <w:t>2.0 / 1.5</w:t>
            </w:r>
          </w:p>
        </w:tc>
        <w:tc>
          <w:tcPr>
            <w:tcW w:type="dxa" w:w="3600"/>
          </w:tcPr>
          <w:p>
            <w:r/>
            <w:r>
              <w:rPr>
                <w:sz w:val="18"/>
              </w:rPr>
              <w:t>Literature</w:t>
            </w:r>
          </w:p>
        </w:tc>
      </w:tr>
      <w:tr>
        <w:tc>
          <w:tcPr>
            <w:tcW w:type="dxa" w:w="3744"/>
          </w:tcPr>
          <w:p>
            <w:r/>
            <w:r>
              <w:rPr>
                <w:sz w:val="18"/>
              </w:rPr>
              <w:t>PrEP efficacy (per-act)</w:t>
            </w:r>
          </w:p>
        </w:tc>
        <w:tc>
          <w:tcPr>
            <w:tcW w:type="dxa" w:w="2160"/>
          </w:tcPr>
          <w:p>
            <w:r/>
            <w:r>
              <w:rPr>
                <w:sz w:val="18"/>
              </w:rPr>
              <w:t>0.95</w:t>
            </w:r>
          </w:p>
        </w:tc>
        <w:tc>
          <w:tcPr>
            <w:tcW w:type="dxa" w:w="3600"/>
          </w:tcPr>
          <w:p>
            <w:r/>
            <w:r>
              <w:rPr>
                <w:sz w:val="18"/>
              </w:rPr>
              <w:t>Literature</w:t>
            </w:r>
          </w:p>
        </w:tc>
      </w:tr>
      <w:tr>
        <w:tc>
          <w:tcPr>
            <w:tcW w:type="dxa" w:w="3744"/>
          </w:tcPr>
          <w:p>
            <w:r/>
            <w:r>
              <w:rPr>
                <w:sz w:val="18"/>
              </w:rPr>
              <w:t>Mean degree, main / casual</w:t>
            </w:r>
          </w:p>
        </w:tc>
        <w:tc>
          <w:tcPr>
            <w:tcW w:type="dxa" w:w="2160"/>
          </w:tcPr>
          <w:p>
            <w:r/>
            <w:r>
              <w:rPr>
                <w:sz w:val="18"/>
              </w:rPr>
              <w:t>0.50 / 0.35</w:t>
            </w:r>
          </w:p>
        </w:tc>
        <w:tc>
          <w:tcPr>
            <w:tcW w:type="dxa" w:w="3600"/>
          </w:tcPr>
          <w:p>
            <w:r/>
            <w:r>
              <w:rPr>
                <w:sz w:val="18"/>
              </w:rPr>
              <w:t>Aimee cohort (≈1.71 past-year partners)</w:t>
            </w:r>
          </w:p>
        </w:tc>
      </w:tr>
      <w:tr>
        <w:tc>
          <w:tcPr>
            <w:tcW w:type="dxa" w:w="3744"/>
          </w:tcPr>
          <w:p>
            <w:r/>
            <w:r>
              <w:rPr>
                <w:sz w:val="18"/>
              </w:rPr>
              <w:t>Concurrency, main / casual</w:t>
            </w:r>
          </w:p>
        </w:tc>
        <w:tc>
          <w:tcPr>
            <w:tcW w:type="dxa" w:w="2160"/>
          </w:tcPr>
          <w:p>
            <w:r/>
            <w:r>
              <w:rPr>
                <w:sz w:val="18"/>
              </w:rPr>
              <w:t>4% / 10%</w:t>
            </w:r>
          </w:p>
        </w:tc>
        <w:tc>
          <w:tcPr>
            <w:tcW w:type="dxa" w:w="3600"/>
          </w:tcPr>
          <w:p>
            <w:r/>
            <w:r>
              <w:rPr>
                <w:sz w:val="18"/>
              </w:rPr>
              <w:t>Bounded by mean degree</w:t>
            </w:r>
          </w:p>
        </w:tc>
      </w:tr>
      <w:tr>
        <w:tc>
          <w:tcPr>
            <w:tcW w:type="dxa" w:w="3744"/>
          </w:tcPr>
          <w:p>
            <w:r/>
            <w:r>
              <w:rPr>
                <w:sz w:val="18"/>
              </w:rPr>
              <w:t>Age-mixing breadth, main / casual</w:t>
            </w:r>
          </w:p>
        </w:tc>
        <w:tc>
          <w:tcPr>
            <w:tcW w:type="dxa" w:w="2160"/>
          </w:tcPr>
          <w:p>
            <w:r/>
            <w:r>
              <w:rPr>
                <w:sz w:val="18"/>
              </w:rPr>
              <w:t>8 / 9</w:t>
            </w:r>
          </w:p>
        </w:tc>
        <w:tc>
          <w:tcPr>
            <w:tcW w:type="dxa" w:w="3600"/>
          </w:tcPr>
          <w:p>
            <w:r/>
            <w:r>
              <w:rPr>
                <w:sz w:val="18"/>
              </w:rPr>
              <w:t>AGYW partner gap ≈7.7y; 34% men ≥30</w:t>
            </w:r>
          </w:p>
        </w:tc>
      </w:tr>
      <w:tr>
        <w:tc>
          <w:tcPr>
            <w:tcW w:type="dxa" w:w="3744"/>
          </w:tcPr>
          <w:p>
            <w:r/>
            <w:r>
              <w:rPr>
                <w:sz w:val="18"/>
              </w:rPr>
              <w:t>Preferred partner age gap (AGYW)</w:t>
            </w:r>
          </w:p>
        </w:tc>
        <w:tc>
          <w:tcPr>
            <w:tcW w:type="dxa" w:w="2160"/>
          </w:tcPr>
          <w:p>
            <w:r/>
            <w:r>
              <w:rPr>
                <w:sz w:val="18"/>
              </w:rPr>
              <w:t>5 years</w:t>
            </w:r>
          </w:p>
        </w:tc>
        <w:tc>
          <w:tcPr>
            <w:tcW w:type="dxa" w:w="3600"/>
          </w:tcPr>
          <w:p>
            <w:r/>
            <w:r>
              <w:rPr>
                <w:sz w:val="18"/>
              </w:rPr>
              <w:t>SA age-disparate literature</w:t>
            </w:r>
          </w:p>
        </w:tc>
      </w:tr>
      <w:tr>
        <w:tc>
          <w:tcPr>
            <w:tcW w:type="dxa" w:w="3744"/>
          </w:tcPr>
          <w:p>
            <w:r/>
            <w:r>
              <w:rPr>
                <w:sz w:val="18"/>
              </w:rPr>
              <w:t>Partnership duration, main / casual</w:t>
            </w:r>
          </w:p>
        </w:tc>
        <w:tc>
          <w:tcPr>
            <w:tcW w:type="dxa" w:w="2160"/>
          </w:tcPr>
          <w:p>
            <w:r/>
            <w:r>
              <w:rPr>
                <w:sz w:val="18"/>
              </w:rPr>
              <w:t>200 / 26 weeks</w:t>
            </w:r>
          </w:p>
        </w:tc>
        <w:tc>
          <w:tcPr>
            <w:tcW w:type="dxa" w:w="3600"/>
          </w:tcPr>
          <w:p>
            <w:r/>
            <w:r>
              <w:rPr>
                <w:sz w:val="18"/>
              </w:rPr>
              <w:t>Literature</w:t>
            </w:r>
          </w:p>
        </w:tc>
      </w:tr>
      <w:tr>
        <w:tc>
          <w:tcPr>
            <w:tcW w:type="dxa" w:w="3744"/>
          </w:tcPr>
          <w:p>
            <w:r/>
            <w:r>
              <w:rPr>
                <w:sz w:val="18"/>
              </w:rPr>
              <w:t>HIV testing/diagnosis rate</w:t>
            </w:r>
          </w:p>
        </w:tc>
        <w:tc>
          <w:tcPr>
            <w:tcW w:type="dxa" w:w="2160"/>
          </w:tcPr>
          <w:p>
            <w:r/>
            <w:r>
              <w:rPr>
                <w:sz w:val="18"/>
              </w:rPr>
              <w:t>0.01 / week</w:t>
            </w:r>
          </w:p>
        </w:tc>
        <w:tc>
          <w:tcPr>
            <w:tcW w:type="dxa" w:w="3600"/>
          </w:tcPr>
          <w:p>
            <w:r/>
            <w:r>
              <w:rPr>
                <w:sz w:val="18"/>
              </w:rPr>
              <w:t>Calibrated/literature</w:t>
            </w:r>
          </w:p>
        </w:tc>
      </w:tr>
      <w:tr>
        <w:tc>
          <w:tcPr>
            <w:tcW w:type="dxa" w:w="3744"/>
          </w:tcPr>
          <w:p>
            <w:r/>
            <w:r>
              <w:rPr>
                <w:sz w:val="18"/>
              </w:rPr>
              <w:t>Linkage to ART</w:t>
            </w:r>
          </w:p>
        </w:tc>
        <w:tc>
          <w:tcPr>
            <w:tcW w:type="dxa" w:w="2160"/>
          </w:tcPr>
          <w:p>
            <w:r/>
            <w:r>
              <w:rPr>
                <w:sz w:val="18"/>
              </w:rPr>
              <w:t>0.50 / week</w:t>
            </w:r>
          </w:p>
        </w:tc>
        <w:tc>
          <w:tcPr>
            <w:tcW w:type="dxa" w:w="3600"/>
          </w:tcPr>
          <w:p>
            <w:r/>
            <w:r>
              <w:rPr>
                <w:sz w:val="18"/>
              </w:rPr>
              <w:t>Cascade</w:t>
            </w:r>
          </w:p>
        </w:tc>
      </w:tr>
      <w:tr>
        <w:tc>
          <w:tcPr>
            <w:tcW w:type="dxa" w:w="3744"/>
          </w:tcPr>
          <w:p>
            <w:r/>
            <w:r>
              <w:rPr>
                <w:sz w:val="18"/>
              </w:rPr>
              <w:t>Viral suppression</w:t>
            </w:r>
          </w:p>
        </w:tc>
        <w:tc>
          <w:tcPr>
            <w:tcW w:type="dxa" w:w="2160"/>
          </w:tcPr>
          <w:p>
            <w:r/>
            <w:r>
              <w:rPr>
                <w:sz w:val="18"/>
              </w:rPr>
              <w:t>0.30 / week</w:t>
            </w:r>
          </w:p>
        </w:tc>
        <w:tc>
          <w:tcPr>
            <w:tcW w:type="dxa" w:w="3600"/>
          </w:tcPr>
          <w:p>
            <w:r/>
            <w:r>
              <w:rPr>
                <w:sz w:val="18"/>
              </w:rPr>
              <w:t>Cascade</w:t>
            </w:r>
          </w:p>
        </w:tc>
      </w:tr>
      <w:tr>
        <w:tc>
          <w:tcPr>
            <w:tcW w:type="dxa" w:w="3744"/>
          </w:tcPr>
          <w:p>
            <w:r/>
            <w:r>
              <w:rPr>
                <w:sz w:val="18"/>
              </w:rPr>
              <w:t>ART discontinuation</w:t>
            </w:r>
          </w:p>
        </w:tc>
        <w:tc>
          <w:tcPr>
            <w:tcW w:type="dxa" w:w="2160"/>
          </w:tcPr>
          <w:p>
            <w:r/>
            <w:r>
              <w:rPr>
                <w:sz w:val="18"/>
              </w:rPr>
              <w:t>0.01 / week</w:t>
            </w:r>
          </w:p>
        </w:tc>
        <w:tc>
          <w:tcPr>
            <w:tcW w:type="dxa" w:w="3600"/>
          </w:tcPr>
          <w:p>
            <w:r/>
            <w:r>
              <w:rPr>
                <w:sz w:val="18"/>
              </w:rPr>
              <w:t>Cascade</w:t>
            </w:r>
          </w:p>
        </w:tc>
      </w:tr>
      <w:tr>
        <w:tc>
          <w:tcPr>
            <w:tcW w:type="dxa" w:w="3744"/>
          </w:tcPr>
          <w:p>
            <w:r/>
            <w:r>
              <w:rPr>
                <w:sz w:val="18"/>
              </w:rPr>
              <w:t>ART scale-up window</w:t>
            </w:r>
          </w:p>
        </w:tc>
        <w:tc>
          <w:tcPr>
            <w:tcW w:type="dxa" w:w="2160"/>
          </w:tcPr>
          <w:p>
            <w:r/>
            <w:r>
              <w:rPr>
                <w:sz w:val="18"/>
              </w:rPr>
              <w:t>ramp 2004 → 2014</w:t>
            </w:r>
          </w:p>
        </w:tc>
        <w:tc>
          <w:tcPr>
            <w:tcW w:type="dxa" w:w="3600"/>
          </w:tcPr>
          <w:p>
            <w:r/>
            <w:r>
              <w:rPr>
                <w:sz w:val="18"/>
              </w:rPr>
              <w:t>SA roll-out</w:t>
            </w:r>
          </w:p>
        </w:tc>
      </w:tr>
      <w:tr>
        <w:tc>
          <w:tcPr>
            <w:tcW w:type="dxa" w:w="3744"/>
          </w:tcPr>
          <w:p>
            <w:r/>
            <w:r>
              <w:rPr>
                <w:sz w:val="18"/>
              </w:rPr>
              <w:t>PrEP initiation rate</w:t>
            </w:r>
          </w:p>
        </w:tc>
        <w:tc>
          <w:tcPr>
            <w:tcW w:type="dxa" w:w="2160"/>
          </w:tcPr>
          <w:p>
            <w:r/>
            <w:r>
              <w:rPr>
                <w:sz w:val="18"/>
              </w:rPr>
              <w:t>0.005 / week</w:t>
            </w:r>
          </w:p>
        </w:tc>
        <w:tc>
          <w:tcPr>
            <w:tcW w:type="dxa" w:w="3600"/>
          </w:tcPr>
          <w:p>
            <w:r/>
            <w:r>
              <w:rPr>
                <w:sz w:val="18"/>
              </w:rPr>
              <w:t>Literature</w:t>
            </w:r>
          </w:p>
        </w:tc>
      </w:tr>
      <w:tr>
        <w:tc>
          <w:tcPr>
            <w:tcW w:type="dxa" w:w="3744"/>
          </w:tcPr>
          <w:p>
            <w:r/>
            <w:r>
              <w:rPr>
                <w:sz w:val="18"/>
              </w:rPr>
              <w:t>PrEP discontinuation rate</w:t>
            </w:r>
          </w:p>
        </w:tc>
        <w:tc>
          <w:tcPr>
            <w:tcW w:type="dxa" w:w="2160"/>
          </w:tcPr>
          <w:p>
            <w:r/>
            <w:r>
              <w:rPr>
                <w:sz w:val="18"/>
              </w:rPr>
              <w:t>0.027 / week</w:t>
            </w:r>
          </w:p>
        </w:tc>
        <w:tc>
          <w:tcPr>
            <w:tcW w:type="dxa" w:w="3600"/>
          </w:tcPr>
          <w:p>
            <w:r/>
            <w:r>
              <w:rPr>
                <w:sz w:val="18"/>
              </w:rPr>
              <w:t>≈6-mo median retention (SA oral PrEP)</w:t>
            </w:r>
          </w:p>
        </w:tc>
      </w:tr>
      <w:tr>
        <w:tc>
          <w:tcPr>
            <w:tcW w:type="dxa" w:w="3744"/>
          </w:tcPr>
          <w:p>
            <w:r/>
            <w:r>
              <w:rPr>
                <w:sz w:val="18"/>
              </w:rPr>
              <w:t>HIV seed year / prevalence</w:t>
            </w:r>
          </w:p>
        </w:tc>
        <w:tc>
          <w:tcPr>
            <w:tcW w:type="dxa" w:w="2160"/>
          </w:tcPr>
          <w:p>
            <w:r/>
            <w:r>
              <w:rPr>
                <w:sz w:val="18"/>
              </w:rPr>
              <w:t>1990 / 0.8%</w:t>
            </w:r>
          </w:p>
        </w:tc>
        <w:tc>
          <w:tcPr>
            <w:tcW w:type="dxa" w:w="3600"/>
          </w:tcPr>
          <w:p>
            <w:r/>
            <w:r>
              <w:rPr>
                <w:sz w:val="18"/>
              </w:rPr>
              <w:t>Calibration setup</w:t>
            </w:r>
          </w:p>
        </w:tc>
      </w:tr>
      <w:tr>
        <w:tc>
          <w:tcPr>
            <w:tcW w:type="dxa" w:w="3744"/>
          </w:tcPr>
          <w:p>
            <w:r/>
            <w:r>
              <w:rPr>
                <w:sz w:val="18"/>
              </w:rPr>
              <w:t>Demographic burn-in</w:t>
            </w:r>
          </w:p>
        </w:tc>
        <w:tc>
          <w:tcPr>
            <w:tcW w:type="dxa" w:w="2160"/>
          </w:tcPr>
          <w:p>
            <w:r/>
            <w:r>
              <w:rPr>
                <w:sz w:val="18"/>
              </w:rPr>
              <w:t>1965–1990 (HIV-free)</w:t>
            </w:r>
          </w:p>
        </w:tc>
        <w:tc>
          <w:tcPr>
            <w:tcW w:type="dxa" w:w="3600"/>
          </w:tcPr>
          <w:p>
            <w:r/>
            <w:r>
              <w:rPr>
                <w:sz w:val="18"/>
              </w:rPr>
              <w:t>Calibration setup</w:t>
            </w:r>
          </w:p>
        </w:tc>
      </w:tr>
      <w:tr>
        <w:tc>
          <w:tcPr>
            <w:tcW w:type="dxa" w:w="3744"/>
          </w:tcPr>
          <w:p>
            <w:r/>
            <w:r>
              <w:rPr>
                <w:sz w:val="18"/>
              </w:rPr>
              <w:t>National AGYW population (scaling)</w:t>
            </w:r>
          </w:p>
        </w:tc>
        <w:tc>
          <w:tcPr>
            <w:tcW w:type="dxa" w:w="2160"/>
          </w:tcPr>
          <w:p>
            <w:r/>
            <w:r>
              <w:rPr>
                <w:sz w:val="18"/>
              </w:rPr>
              <w:t>5,071,746</w:t>
            </w:r>
          </w:p>
        </w:tc>
        <w:tc>
          <w:tcPr>
            <w:tcW w:type="dxa" w:w="3600"/>
          </w:tcPr>
          <w:p>
            <w:r/>
            <w:r>
              <w:rPr>
                <w:sz w:val="18"/>
              </w:rPr>
              <w:t>Thembisa 2022</w:t>
            </w:r>
          </w:p>
        </w:tc>
      </w:tr>
      <w:tr>
        <w:tc>
          <w:tcPr>
            <w:tcW w:type="dxa" w:w="3744"/>
          </w:tcPr>
          <w:p>
            <w:r/>
            <w:r>
              <w:rPr>
                <w:sz w:val="18"/>
              </w:rPr>
              <w:t>Replicates / population size</w:t>
            </w:r>
          </w:p>
        </w:tc>
        <w:tc>
          <w:tcPr>
            <w:tcW w:type="dxa" w:w="2160"/>
          </w:tcPr>
          <w:p>
            <w:r/>
            <w:r>
              <w:rPr>
                <w:sz w:val="18"/>
              </w:rPr>
              <w:t>96 / 20,000</w:t>
            </w:r>
          </w:p>
        </w:tc>
        <w:tc>
          <w:tcPr>
            <w:tcW w:type="dxa" w:w="3600"/>
          </w:tcPr>
          <w:p>
            <w:r/>
            <w:r>
              <w:rPr>
                <w:sz w:val="18"/>
              </w:rPr>
              <w:t>Simulation design</w:t>
            </w:r>
          </w:p>
        </w:tc>
      </w:tr>
    </w:tbl>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