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A2FE8" w14:textId="2D964490" w:rsidR="00416340" w:rsidRPr="00796CDC" w:rsidRDefault="00796CDC" w:rsidP="00686D04">
      <w:pPr>
        <w:spacing w:after="0" w:line="240" w:lineRule="auto"/>
        <w:jc w:val="center"/>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Could an AI health companion reduce HIV infections among adolescent girls and young women in South Africa? Implications for HIV prevention in sub-Saharan Africa</w:t>
      </w:r>
    </w:p>
    <w:p w14:paraId="1A5CAB6E" w14:textId="77777777" w:rsidR="00416340" w:rsidRPr="00516A56" w:rsidRDefault="00000000" w:rsidP="00686D04">
      <w:pPr>
        <w:pStyle w:val="Heading1"/>
        <w:spacing w:line="240" w:lineRule="auto"/>
        <w:jc w:val="center"/>
        <w:rPr>
          <w:rFonts w:ascii="Times New Roman" w:hAnsi="Times New Roman" w:cs="Times New Roman"/>
          <w:color w:val="000000" w:themeColor="text1"/>
          <w:sz w:val="24"/>
          <w:szCs w:val="24"/>
        </w:rPr>
      </w:pPr>
      <w:commentRangeStart w:id="0"/>
      <w:r w:rsidRPr="00516A56">
        <w:rPr>
          <w:rFonts w:ascii="Times New Roman" w:hAnsi="Times New Roman" w:cs="Times New Roman"/>
          <w:color w:val="000000" w:themeColor="text1"/>
          <w:sz w:val="24"/>
          <w:szCs w:val="24"/>
        </w:rPr>
        <w:t>Abstract</w:t>
      </w:r>
    </w:p>
    <w:p w14:paraId="70294DC2" w14:textId="2230D591" w:rsidR="00416340" w:rsidRPr="00796CDC" w:rsidRDefault="00000000" w:rsidP="00686D04">
      <w:pPr>
        <w:spacing w:after="0" w:line="240" w:lineRule="auto"/>
        <w:jc w:val="both"/>
        <w:rPr>
          <w:rFonts w:ascii="Times New Roman" w:hAnsi="Times New Roman" w:cs="Times New Roman"/>
          <w:color w:val="000000" w:themeColor="text1"/>
          <w:sz w:val="24"/>
          <w:szCs w:val="24"/>
        </w:rPr>
      </w:pPr>
      <w:r w:rsidRPr="00F65FFC">
        <w:rPr>
          <w:rFonts w:ascii="Times New Roman" w:hAnsi="Times New Roman" w:cs="Times New Roman"/>
          <w:b/>
          <w:bCs/>
          <w:color w:val="000000" w:themeColor="text1"/>
          <w:sz w:val="24"/>
          <w:szCs w:val="24"/>
        </w:rPr>
        <w:t>Background.</w:t>
      </w:r>
      <w:r w:rsidRPr="00796CDC">
        <w:rPr>
          <w:rFonts w:ascii="Times New Roman" w:hAnsi="Times New Roman" w:cs="Times New Roman"/>
          <w:color w:val="000000" w:themeColor="text1"/>
          <w:sz w:val="24"/>
          <w:szCs w:val="24"/>
        </w:rPr>
        <w:t xml:space="preserve"> Adolescent girls and young women (AGYW) in South Africa bear a disproportionate burden of HIV. AI health companions delivered by mobile phone can increase engagement with HIV testing and pre-exposure prophylaxis (PrEP), but their population-level epidemiological impact is unknown. We estimated the number of AGYW HIV infections that could be averted by </w:t>
      </w:r>
      <w:r w:rsidR="006935D3">
        <w:rPr>
          <w:rFonts w:ascii="Times New Roman" w:hAnsi="Times New Roman" w:cs="Times New Roman"/>
          <w:color w:val="000000" w:themeColor="text1"/>
          <w:sz w:val="24"/>
          <w:szCs w:val="24"/>
        </w:rPr>
        <w:t xml:space="preserve">an </w:t>
      </w:r>
      <w:r w:rsidRPr="00796CDC">
        <w:rPr>
          <w:rFonts w:ascii="Times New Roman" w:hAnsi="Times New Roman" w:cs="Times New Roman"/>
          <w:color w:val="000000" w:themeColor="text1"/>
          <w:sz w:val="24"/>
          <w:szCs w:val="24"/>
        </w:rPr>
        <w:t>AI health companion</w:t>
      </w:r>
      <w:r w:rsidR="006935D3">
        <w:rPr>
          <w:rFonts w:ascii="Times New Roman" w:hAnsi="Times New Roman" w:cs="Times New Roman"/>
          <w:color w:val="000000" w:themeColor="text1"/>
          <w:sz w:val="24"/>
          <w:szCs w:val="24"/>
        </w:rPr>
        <w:t xml:space="preserve"> (Aimee)</w:t>
      </w:r>
      <w:r w:rsidRPr="00796CDC">
        <w:rPr>
          <w:rFonts w:ascii="Times New Roman" w:hAnsi="Times New Roman" w:cs="Times New Roman"/>
          <w:color w:val="000000" w:themeColor="text1"/>
          <w:sz w:val="24"/>
          <w:szCs w:val="24"/>
        </w:rPr>
        <w:t>, using a transmission-dynamic model parameterised with effect sizes from a South African field-study cohort.</w:t>
      </w:r>
    </w:p>
    <w:p w14:paraId="7B991185" w14:textId="467DF331" w:rsidR="00416340" w:rsidRPr="00796CDC" w:rsidRDefault="00000000" w:rsidP="00686D04">
      <w:pPr>
        <w:spacing w:after="0" w:line="240" w:lineRule="auto"/>
        <w:jc w:val="both"/>
        <w:rPr>
          <w:rFonts w:ascii="Times New Roman" w:hAnsi="Times New Roman" w:cs="Times New Roman"/>
          <w:color w:val="000000" w:themeColor="text1"/>
          <w:sz w:val="24"/>
          <w:szCs w:val="24"/>
        </w:rPr>
      </w:pPr>
      <w:r w:rsidRPr="00F65FFC">
        <w:rPr>
          <w:rFonts w:ascii="Times New Roman" w:hAnsi="Times New Roman" w:cs="Times New Roman"/>
          <w:b/>
          <w:bCs/>
          <w:color w:val="000000" w:themeColor="text1"/>
          <w:sz w:val="24"/>
          <w:szCs w:val="24"/>
        </w:rPr>
        <w:t>Methods.</w:t>
      </w:r>
      <w:r w:rsidRPr="00796CDC">
        <w:rPr>
          <w:rFonts w:ascii="Times New Roman" w:hAnsi="Times New Roman" w:cs="Times New Roman"/>
          <w:color w:val="000000" w:themeColor="text1"/>
          <w:sz w:val="24"/>
          <w:szCs w:val="24"/>
        </w:rPr>
        <w:t xml:space="preserve"> We </w:t>
      </w:r>
      <w:r w:rsidR="00F65FFC">
        <w:rPr>
          <w:rFonts w:ascii="Times New Roman" w:hAnsi="Times New Roman" w:cs="Times New Roman"/>
          <w:color w:val="000000" w:themeColor="text1"/>
          <w:sz w:val="24"/>
          <w:szCs w:val="24"/>
        </w:rPr>
        <w:t xml:space="preserve">calibrated </w:t>
      </w:r>
      <w:r w:rsidRPr="00796CDC">
        <w:rPr>
          <w:rFonts w:ascii="Times New Roman" w:hAnsi="Times New Roman" w:cs="Times New Roman"/>
          <w:color w:val="000000" w:themeColor="text1"/>
          <w:sz w:val="24"/>
          <w:szCs w:val="24"/>
        </w:rPr>
        <w:t>a stochastic, individual-based dynamic network model of heterosexual HIV transmission in South Africa (EpiModel 2.6.1), with sex and age-structured main and casual partnership networks, age-disparate mixing, age-graded female susceptibility, a four-state HIV care cascade with a time-varying antiretroviral-therapy (ART) scale-up, and PrEP. The model was calibrated to the South African HIV prevalence and incidence trajectory</w:t>
      </w:r>
      <w:r w:rsidR="006935D3">
        <w:rPr>
          <w:rFonts w:ascii="Times New Roman" w:hAnsi="Times New Roman" w:cs="Times New Roman"/>
          <w:color w:val="000000" w:themeColor="text1"/>
          <w:sz w:val="24"/>
          <w:szCs w:val="24"/>
        </w:rPr>
        <w:t xml:space="preserve">. </w:t>
      </w:r>
      <w:r w:rsidRPr="00796CDC">
        <w:rPr>
          <w:rFonts w:ascii="Times New Roman" w:hAnsi="Times New Roman" w:cs="Times New Roman"/>
          <w:color w:val="000000" w:themeColor="text1"/>
          <w:sz w:val="24"/>
          <w:szCs w:val="24"/>
        </w:rPr>
        <w:t>The chatbot was represented as a perturbation of AGYW HIV-testing and PrEP-initiation rates among reached women from 2025, using hazard ratios estimated from the field-study cohort scaled by an assumed causal fraction. We evaluated a factorial grid of reach (10/30/50% of AGYW) × causal fraction (25/50/100%) and projected AGYW infections averted over 2025–2035, using a paired common-random-number design.</w:t>
      </w:r>
    </w:p>
    <w:p w14:paraId="3A4219DF" w14:textId="52BAEF64" w:rsidR="00416340" w:rsidRPr="00796CDC" w:rsidRDefault="00000000" w:rsidP="00686D04">
      <w:pPr>
        <w:spacing w:after="0" w:line="240" w:lineRule="auto"/>
        <w:jc w:val="both"/>
        <w:rPr>
          <w:rFonts w:ascii="Times New Roman" w:hAnsi="Times New Roman" w:cs="Times New Roman"/>
          <w:color w:val="000000" w:themeColor="text1"/>
          <w:sz w:val="24"/>
          <w:szCs w:val="24"/>
        </w:rPr>
      </w:pPr>
      <w:r w:rsidRPr="006935D3">
        <w:rPr>
          <w:rFonts w:ascii="Times New Roman" w:hAnsi="Times New Roman" w:cs="Times New Roman"/>
          <w:b/>
          <w:bCs/>
          <w:color w:val="000000" w:themeColor="text1"/>
          <w:sz w:val="24"/>
          <w:szCs w:val="24"/>
          <w:highlight w:val="yellow"/>
        </w:rPr>
        <w:t>Results.</w:t>
      </w:r>
      <w:r w:rsidRPr="006935D3">
        <w:rPr>
          <w:rFonts w:ascii="Times New Roman" w:hAnsi="Times New Roman" w:cs="Times New Roman"/>
          <w:color w:val="000000" w:themeColor="text1"/>
          <w:sz w:val="24"/>
          <w:szCs w:val="24"/>
          <w:highlight w:val="yellow"/>
        </w:rPr>
        <w:t xml:space="preserve"> The calibrated model reproduced the South African epidemic trajectory (trajectory RMSE 0.031) and, without cascade-specific tuning, the observed AGYW care-cascade shortfall (73% of HIV-positive AGYW diagnosed and 62% virally suppressed, vs 89% and 78% among adults). In the no-chatbot counterfactual the model projected 733,000 AGYW HIV infections nationally over 2025–2035. At 50% reach the chatbot averted an estimated 6.2% of infections (45,333; 95% CI 36,884–53,782) under the central assumption and 10.3% (75,191; 65,724–84,659) under the optimistic assumption; effects were statistically supported in eight of nine scenarios. Impact was driven by increased AGYW PrEP coverage (from ~3% to 8–14%).</w:t>
      </w:r>
    </w:p>
    <w:p w14:paraId="14E751E9" w14:textId="3F2DB7FE" w:rsidR="00416340" w:rsidRPr="00796CDC" w:rsidRDefault="00000000" w:rsidP="00686D04">
      <w:pPr>
        <w:spacing w:after="0" w:line="240" w:lineRule="auto"/>
        <w:jc w:val="both"/>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 xml:space="preserve">Conclusions. Under realistic assumptions about South African HIV treatment and PrEP </w:t>
      </w:r>
      <w:proofErr w:type="gramStart"/>
      <w:r w:rsidRPr="00796CDC">
        <w:rPr>
          <w:rFonts w:ascii="Times New Roman" w:hAnsi="Times New Roman" w:cs="Times New Roman"/>
          <w:color w:val="000000" w:themeColor="text1"/>
          <w:sz w:val="24"/>
          <w:szCs w:val="24"/>
        </w:rPr>
        <w:t xml:space="preserve">coverage </w:t>
      </w:r>
      <w:r w:rsidR="00960873">
        <w:rPr>
          <w:rFonts w:ascii="Times New Roman" w:hAnsi="Times New Roman" w:cs="Times New Roman"/>
          <w:color w:val="000000" w:themeColor="text1"/>
          <w:sz w:val="24"/>
          <w:szCs w:val="24"/>
        </w:rPr>
        <w:t>,</w:t>
      </w:r>
      <w:proofErr w:type="gramEnd"/>
      <w:r w:rsidR="00960873">
        <w:rPr>
          <w:rFonts w:ascii="Times New Roman" w:hAnsi="Times New Roman" w:cs="Times New Roman"/>
          <w:color w:val="000000" w:themeColor="text1"/>
          <w:sz w:val="24"/>
          <w:szCs w:val="24"/>
        </w:rPr>
        <w:t xml:space="preserve"> </w:t>
      </w:r>
      <w:r w:rsidRPr="00796CDC">
        <w:rPr>
          <w:rFonts w:ascii="Times New Roman" w:hAnsi="Times New Roman" w:cs="Times New Roman"/>
          <w:color w:val="000000" w:themeColor="text1"/>
          <w:sz w:val="24"/>
          <w:szCs w:val="24"/>
        </w:rPr>
        <w:t>including poor oral-</w:t>
      </w:r>
      <w:proofErr w:type="spellStart"/>
      <w:r w:rsidRPr="00796CDC">
        <w:rPr>
          <w:rFonts w:ascii="Times New Roman" w:hAnsi="Times New Roman" w:cs="Times New Roman"/>
          <w:color w:val="000000" w:themeColor="text1"/>
          <w:sz w:val="24"/>
          <w:szCs w:val="24"/>
        </w:rPr>
        <w:t>PrEP</w:t>
      </w:r>
      <w:proofErr w:type="spellEnd"/>
      <w:r w:rsidRPr="00796CDC">
        <w:rPr>
          <w:rFonts w:ascii="Times New Roman" w:hAnsi="Times New Roman" w:cs="Times New Roman"/>
          <w:color w:val="000000" w:themeColor="text1"/>
          <w:sz w:val="24"/>
          <w:szCs w:val="24"/>
        </w:rPr>
        <w:t xml:space="preserve"> continuation</w:t>
      </w:r>
      <w:r w:rsidR="00960873">
        <w:rPr>
          <w:rFonts w:ascii="Times New Roman" w:hAnsi="Times New Roman" w:cs="Times New Roman"/>
          <w:color w:val="000000" w:themeColor="text1"/>
          <w:sz w:val="24"/>
          <w:szCs w:val="24"/>
        </w:rPr>
        <w:t>,</w:t>
      </w:r>
      <w:r w:rsidRPr="00796CDC">
        <w:rPr>
          <w:rFonts w:ascii="Times New Roman" w:hAnsi="Times New Roman" w:cs="Times New Roman"/>
          <w:color w:val="000000" w:themeColor="text1"/>
          <w:sz w:val="24"/>
          <w:szCs w:val="24"/>
        </w:rPr>
        <w:t xml:space="preserve"> an AI health companion that durably engages AGYW with testing and PrEP could avert a meaningful share of new HIV infections. The estimate is conservative and depends on the causal fraction of the observed engagement effect, which the field study cannot establish.</w:t>
      </w:r>
    </w:p>
    <w:p w14:paraId="093E1F94" w14:textId="77777777" w:rsidR="00416340" w:rsidRPr="00796CDC" w:rsidRDefault="00000000" w:rsidP="00686D04">
      <w:pPr>
        <w:spacing w:after="0" w:line="240" w:lineRule="auto"/>
        <w:jc w:val="both"/>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Keywords: HIV; adolescent girls and young women; PrEP; digital health; AI chatbot; agent-based model; South Africa.</w:t>
      </w:r>
      <w:commentRangeEnd w:id="0"/>
      <w:r w:rsidR="006935D3">
        <w:rPr>
          <w:rStyle w:val="CommentReference"/>
        </w:rPr>
        <w:commentReference w:id="0"/>
      </w:r>
    </w:p>
    <w:p w14:paraId="65F9175D" w14:textId="5FF7C706" w:rsidR="00416340" w:rsidRPr="006935D3" w:rsidRDefault="00796CDC" w:rsidP="00686D04">
      <w:pPr>
        <w:spacing w:after="0" w:line="240" w:lineRule="auto"/>
        <w:rPr>
          <w:rFonts w:ascii="Times New Roman" w:hAnsi="Times New Roman" w:cs="Times New Roman"/>
          <w:b/>
          <w:bCs/>
          <w:color w:val="000000" w:themeColor="text1"/>
          <w:sz w:val="24"/>
          <w:szCs w:val="24"/>
        </w:rPr>
      </w:pPr>
      <w:r w:rsidRPr="006935D3">
        <w:rPr>
          <w:rFonts w:ascii="Times New Roman" w:hAnsi="Times New Roman" w:cs="Times New Roman"/>
          <w:b/>
          <w:bCs/>
          <w:color w:val="000000" w:themeColor="text1"/>
          <w:sz w:val="24"/>
          <w:szCs w:val="24"/>
        </w:rPr>
        <w:t>INTRODUCTION</w:t>
      </w:r>
    </w:p>
    <w:p w14:paraId="5154A76E" w14:textId="77777777" w:rsidR="00796CDC" w:rsidRDefault="00796CDC" w:rsidP="00686D04">
      <w:pPr>
        <w:pStyle w:val="NormalWeb"/>
        <w:spacing w:after="0" w:afterAutospacing="0"/>
        <w:jc w:val="both"/>
      </w:pPr>
      <w:r>
        <w:t xml:space="preserve">Adolescent girls and young women (AGYW, aged 15–24 years) in sub-Saharan Africa remain disproportionately affected by HIV, acquiring infection at more than twice the rate of their male peers in many settings [1]. South Africa has one of the largest HIV epidemics globally, and young women continue to carry a high burden of new infections despite major gains in HIV testing and antiretroviral therapy (ART) coverage [2,3]. The drivers of this disparity are well described and include age-disparate partnerships with older men, high </w:t>
      </w:r>
      <w:r>
        <w:lastRenderedPageBreak/>
        <w:t>HIV prevalence among male partners, concurrency within sexual partnership networks, biological susceptibility, gender and economic inequality, stigma, and structural barriers to prevention and care [4–6]. Although South Africa has a large national ART programme and oral pre-exposure prophylaxis (</w:t>
      </w:r>
      <w:proofErr w:type="spellStart"/>
      <w:r>
        <w:t>PrEP</w:t>
      </w:r>
      <w:proofErr w:type="spellEnd"/>
      <w:r>
        <w:t xml:space="preserve">) is available, AGYW often remain underserved across the HIV prevention and care continuum, including diagnosis, linkage to care, viral suppression, </w:t>
      </w:r>
      <w:proofErr w:type="spellStart"/>
      <w:r>
        <w:t>PrEP</w:t>
      </w:r>
      <w:proofErr w:type="spellEnd"/>
      <w:r>
        <w:t xml:space="preserve"> uptake, and </w:t>
      </w:r>
      <w:proofErr w:type="spellStart"/>
      <w:r>
        <w:t>PrEP</w:t>
      </w:r>
      <w:proofErr w:type="spellEnd"/>
      <w:r>
        <w:t xml:space="preserve"> continuation [7,8].</w:t>
      </w:r>
    </w:p>
    <w:p w14:paraId="37A7F4E3" w14:textId="77777777" w:rsidR="00796CDC" w:rsidRDefault="00796CDC" w:rsidP="00686D04">
      <w:pPr>
        <w:pStyle w:val="NormalWeb"/>
        <w:spacing w:after="0" w:afterAutospacing="0"/>
        <w:jc w:val="both"/>
      </w:pPr>
      <w:r>
        <w:t xml:space="preserve">Oral </w:t>
      </w:r>
      <w:proofErr w:type="spellStart"/>
      <w:r>
        <w:t>PrEP</w:t>
      </w:r>
      <w:proofErr w:type="spellEnd"/>
      <w:r>
        <w:t xml:space="preserve"> is highly effective at preventing HIV when used as directed, but its population-level impact among AGYW has been limited by low uptake, inconsistent adherence, and poor persistence [9,10]. Studies from South Africa and other sub-Saharan African settings show that many young women who initiate oral </w:t>
      </w:r>
      <w:proofErr w:type="spellStart"/>
      <w:r>
        <w:t>PrEP</w:t>
      </w:r>
      <w:proofErr w:type="spellEnd"/>
      <w:r>
        <w:t xml:space="preserve"> discontinue within the first few months, often because of changing risk perception, stigma, side effects, clinic access barriers, or low perceived need [10,11]. Interventions that increase both demand for HIV prevention services and sustained engagement with testing and </w:t>
      </w:r>
      <w:proofErr w:type="spellStart"/>
      <w:r>
        <w:t>PrEP</w:t>
      </w:r>
      <w:proofErr w:type="spellEnd"/>
      <w:r>
        <w:t xml:space="preserve"> are therefore a priority. Mobile-phone–delivered digital health tools, including conversational AI “health companions,” may offer a scalable and youth-friendly channel for personalised, confidential information, risk assessment, reminders, and navigation support [12,13].</w:t>
      </w:r>
    </w:p>
    <w:p w14:paraId="416A7EB5" w14:textId="77777777" w:rsidR="00796CDC" w:rsidRDefault="00796CDC" w:rsidP="00686D04">
      <w:pPr>
        <w:pStyle w:val="NormalWeb"/>
        <w:spacing w:after="0" w:afterAutospacing="0"/>
        <w:jc w:val="both"/>
      </w:pPr>
      <w:r>
        <w:t xml:space="preserve">The Aimee AI health companion, deployed in the Clover field study in South Africa, engaged young people by mobile phone and was associated with increased uptake of HIV testing and </w:t>
      </w:r>
      <w:proofErr w:type="spellStart"/>
      <w:r>
        <w:t>PrEP</w:t>
      </w:r>
      <w:proofErr w:type="spellEnd"/>
      <w:r>
        <w:t xml:space="preserve"> among more-engaged users [14]. However, whether these individual-level associations translate into measurable reductions in population-level HIV incidence cannot be inferred directly from a single-arm observational cohort. Such translation requires a transmission-dynamic model that represents the sexual partnership networks through which HIV spreads, captures the indirect effects of prevention and treatment, and is anchored to the South African epidemic trajectory and its current treatment and prevention coverage.</w:t>
      </w:r>
    </w:p>
    <w:p w14:paraId="2D8BC238" w14:textId="77777777" w:rsidR="00796CDC" w:rsidRDefault="00796CDC" w:rsidP="00686D04">
      <w:pPr>
        <w:pStyle w:val="NormalWeb"/>
        <w:spacing w:after="0" w:afterAutospacing="0"/>
        <w:jc w:val="both"/>
      </w:pPr>
      <w:r>
        <w:t>We therefore developed a calibrated, individual-based dynamic network model of heterosexual HIV transmission among South African AGYW and used it to project the number of new HIV infections that the Aimee companion could avert over 2025–2035. The baseline model was parameterised to reflect the South African context, including observed HIV prevalence and incidence trends, ART scale-up, AGYW-specific care-cascade gaps, and realistic oral-</w:t>
      </w:r>
      <w:proofErr w:type="spellStart"/>
      <w:r>
        <w:t>PrEP</w:t>
      </w:r>
      <w:proofErr w:type="spellEnd"/>
      <w:r>
        <w:t xml:space="preserve"> discontinuation. Because the observed Aimee engagement effect was not estimated from a randomised trial, we propagated this uncertainty through an explicit causal-fraction sensitivity analysis.</w:t>
      </w:r>
    </w:p>
    <w:p w14:paraId="3149F9BB" w14:textId="6913D190" w:rsidR="00416340" w:rsidRPr="001B77FC" w:rsidRDefault="006E58AE" w:rsidP="00686D04">
      <w:pPr>
        <w:pStyle w:val="Heading1"/>
        <w:spacing w:line="240" w:lineRule="auto"/>
        <w:rPr>
          <w:rFonts w:ascii="Times New Roman" w:hAnsi="Times New Roman" w:cs="Times New Roman"/>
          <w:color w:val="000000" w:themeColor="text1"/>
          <w:sz w:val="24"/>
          <w:szCs w:val="24"/>
        </w:rPr>
      </w:pPr>
      <w:commentRangeStart w:id="1"/>
      <w:r w:rsidRPr="001B77FC">
        <w:rPr>
          <w:rFonts w:ascii="Times New Roman" w:hAnsi="Times New Roman" w:cs="Times New Roman"/>
          <w:color w:val="000000" w:themeColor="text1"/>
          <w:sz w:val="24"/>
          <w:szCs w:val="24"/>
        </w:rPr>
        <w:t>METHODS</w:t>
      </w:r>
      <w:commentRangeEnd w:id="1"/>
      <w:r w:rsidR="006935D3">
        <w:rPr>
          <w:rStyle w:val="CommentReference"/>
          <w:rFonts w:ascii="Calibri" w:eastAsiaTheme="minorEastAsia" w:hAnsi="Calibri" w:cstheme="minorBidi"/>
          <w:b w:val="0"/>
          <w:bCs w:val="0"/>
          <w:color w:val="auto"/>
        </w:rPr>
        <w:commentReference w:id="1"/>
      </w:r>
    </w:p>
    <w:p w14:paraId="59956E9C" w14:textId="77777777" w:rsidR="006935D3" w:rsidRDefault="006935D3" w:rsidP="00686D04">
      <w:pPr>
        <w:pStyle w:val="Heading2"/>
        <w:spacing w:before="0" w:line="240" w:lineRule="auto"/>
        <w:rPr>
          <w:rFonts w:ascii="Times New Roman" w:hAnsi="Times New Roman" w:cs="Times New Roman"/>
          <w:i/>
          <w:iCs/>
          <w:color w:val="000000" w:themeColor="text1"/>
          <w:sz w:val="24"/>
          <w:szCs w:val="24"/>
        </w:rPr>
      </w:pPr>
    </w:p>
    <w:p w14:paraId="7DFE3899" w14:textId="355A0598" w:rsidR="00416340" w:rsidRPr="001B77FC" w:rsidRDefault="00000000" w:rsidP="00686D04">
      <w:pPr>
        <w:pStyle w:val="Heading2"/>
        <w:spacing w:before="0" w:line="240" w:lineRule="auto"/>
        <w:rPr>
          <w:rFonts w:ascii="Times New Roman" w:hAnsi="Times New Roman" w:cs="Times New Roman"/>
          <w:i/>
          <w:iCs/>
          <w:color w:val="000000" w:themeColor="text1"/>
          <w:sz w:val="24"/>
          <w:szCs w:val="24"/>
        </w:rPr>
      </w:pPr>
      <w:r w:rsidRPr="001B77FC">
        <w:rPr>
          <w:rFonts w:ascii="Times New Roman" w:hAnsi="Times New Roman" w:cs="Times New Roman"/>
          <w:i/>
          <w:iCs/>
          <w:color w:val="000000" w:themeColor="text1"/>
          <w:sz w:val="24"/>
          <w:szCs w:val="24"/>
        </w:rPr>
        <w:t>Study design and overview</w:t>
      </w:r>
    </w:p>
    <w:p w14:paraId="1CCE323B" w14:textId="77777777" w:rsidR="00416340" w:rsidRPr="00796CDC" w:rsidRDefault="00000000" w:rsidP="00686D04">
      <w:pPr>
        <w:spacing w:after="0" w:line="240" w:lineRule="auto"/>
        <w:jc w:val="both"/>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 xml:space="preserve">We developed a stochastic, individual-based dynamic network model of heterosexual HIV transmission in South Africa to estimate the population-level impact of an AI health companion (Aimee) on HIV incidence among AGYW (women aged 15–24 years). The model was implemented in the EpiModel framework (v2.6.1) in R, building on the EpiModel Gallery “HIV Transmission with Care Cascade and PrEP” reference model, and extended with sex- and age-structured partnership networks, an age-disparate mixing </w:t>
      </w:r>
      <w:r w:rsidRPr="00796CDC">
        <w:rPr>
          <w:rFonts w:ascii="Times New Roman" w:hAnsi="Times New Roman" w:cs="Times New Roman"/>
          <w:color w:val="000000" w:themeColor="text1"/>
          <w:sz w:val="24"/>
          <w:szCs w:val="24"/>
        </w:rPr>
        <w:lastRenderedPageBreak/>
        <w:t>structure, age-graded female susceptibility, and an intervention layer representing chatbot-driven changes to HIV testing and PrEP uptake. The model was calibrated to the South African HIV epidemic trajectory (1990–2022) and used to project AGYW HIV infections averted by the chatbot over 2025–2035 under a range of reach and effect-size assumptions.</w:t>
      </w:r>
    </w:p>
    <w:p w14:paraId="2D69C372" w14:textId="77777777" w:rsidR="00416340" w:rsidRDefault="00000000" w:rsidP="00686D04">
      <w:pPr>
        <w:pStyle w:val="Heading2"/>
        <w:spacing w:line="240" w:lineRule="auto"/>
        <w:rPr>
          <w:rFonts w:ascii="Times New Roman" w:hAnsi="Times New Roman" w:cs="Times New Roman"/>
          <w:i/>
          <w:iCs/>
          <w:color w:val="000000" w:themeColor="text1"/>
          <w:sz w:val="24"/>
          <w:szCs w:val="24"/>
        </w:rPr>
      </w:pPr>
      <w:r w:rsidRPr="001B77FC">
        <w:rPr>
          <w:rFonts w:ascii="Times New Roman" w:hAnsi="Times New Roman" w:cs="Times New Roman"/>
          <w:i/>
          <w:iCs/>
          <w:color w:val="000000" w:themeColor="text1"/>
          <w:sz w:val="24"/>
          <w:szCs w:val="24"/>
        </w:rPr>
        <w:t>Population and partnership network</w:t>
      </w:r>
    </w:p>
    <w:p w14:paraId="03699BF3" w14:textId="77777777" w:rsidR="009D2DD3" w:rsidRDefault="009D2DD3" w:rsidP="00686D04">
      <w:pPr>
        <w:pStyle w:val="NormalWeb"/>
        <w:spacing w:before="0" w:beforeAutospacing="0" w:after="0" w:afterAutospacing="0"/>
        <w:jc w:val="both"/>
      </w:pPr>
      <w:r>
        <w:t xml:space="preserve">The model simulated a dynamic sexually active population aged 15–50 years on a weekly time step. Sexual partnerships were represented as two concurrent dynamic network layers: main partnerships, defined as longer-duration partnerships with higher per-act coital frequency, and casual partnerships, defined as shorter-duration partnerships. Each layer was specified as a separate temporal exponential-family random graph model (TERGM) sharing the same node set, using the </w:t>
      </w:r>
      <w:proofErr w:type="spellStart"/>
      <w:r>
        <w:t>EpiModel</w:t>
      </w:r>
      <w:proofErr w:type="spellEnd"/>
      <w:r>
        <w:t xml:space="preserve"> framework for network-based infectious disease simulation [18,19].</w:t>
      </w:r>
    </w:p>
    <w:p w14:paraId="05907EAA" w14:textId="7C3020A1" w:rsidR="009D2DD3" w:rsidRDefault="009D2DD3" w:rsidP="00686D04">
      <w:pPr>
        <w:pStyle w:val="NormalWeb"/>
        <w:spacing w:after="0" w:afterAutospacing="0"/>
        <w:jc w:val="both"/>
      </w:pPr>
      <w:r>
        <w:t>Each partnership layer included an edges term to control mean degree and a concurrency term to capture overlapping partnerships, a structural feature central to generalised heterosexual HIV epidemics [20,21]. Two additional constraints were imposed. First, heterosexual mixing was enforced using an offset node</w:t>
      </w:r>
      <w:r>
        <w:t>-</w:t>
      </w:r>
      <w:r>
        <w:t>match term on sex. Second, age-disparate mixing was represented using an absolute-difference term on a directional preferred-partner age, with female age shifted upward by a fixed age gap so that adolescent girls and young women preferentially partnered with older men. The age-mixing breadth was set so that partners of AGYW were, on average, approximately 7.7 years older, with around 34% of AGYW partnerships involving men aged 30 years or older, consistent with South African data on age-disparate partnerships [22,23]. Mean partnership degree was informed by the Aimee cohort, in which participants reported a mean of 1.71 sexual partners in the past year [17]. Mean partnership duration was set to approximately 200 weeks for main partnerships and 26 weeks for casual partnerships.</w:t>
      </w:r>
    </w:p>
    <w:p w14:paraId="1357FAE1" w14:textId="77777777" w:rsidR="009D2DD3" w:rsidRDefault="009D2DD3" w:rsidP="00686D04">
      <w:pPr>
        <w:pStyle w:val="NormalWeb"/>
        <w:spacing w:after="0" w:afterAutospacing="0"/>
        <w:jc w:val="both"/>
      </w:pPr>
      <w:r>
        <w:t>Demographic turnover comprised entry, background exit, AIDS-related mortality, and ageing out. Each week, new susceptible individuals entered the population at age 15 as a Poisson draw with mean equal to the active population size multiplied by an arrival rate of 0.0010 per week, corresponding to approximately 5% per year. Sex was assigned at entry in a 1:1 ratio. Individuals without AIDS exited at a background rate of 0.0005 per week, corresponding to approximately 2.6% per year. Individuals with AIDS exited at an elevated rate of 1/104 per week, corresponding to a mean untreated survival of approximately two years; this rate was reduced ten-fold among individuals receiving suppressive ART. Individuals deterministically exited the sexually active population when they reached age 50.</w:t>
      </w:r>
    </w:p>
    <w:p w14:paraId="31404947" w14:textId="77777777" w:rsidR="009D2DD3" w:rsidRDefault="009D2DD3" w:rsidP="00686D04">
      <w:pPr>
        <w:pStyle w:val="NormalWeb"/>
        <w:spacing w:after="0" w:afterAutospacing="0"/>
        <w:jc w:val="both"/>
      </w:pPr>
      <w:r>
        <w:t>Because the per-capita entry rate slightly exceeded the background exit rate, the simulated population grew modestly over time, reflecting the young and expanding demographic structure of South Africa [24]. Partnership formation, dissolution, and age-disparate mixing were updated at each weekly time step as individuals aged and as the composition of the population changed. These demographic rates were selected to maintain a stable-to-growing age structure during the HIV-free burn-in and were not directly fitted to South African vital statistics; epidemic outcomes were subsequently calibrated to South African HIV prevalence and incidence trajectories [24,25].</w:t>
      </w:r>
    </w:p>
    <w:p w14:paraId="6A55D255" w14:textId="77777777" w:rsidR="009D2DD3" w:rsidRPr="0071347A" w:rsidRDefault="009D2DD3" w:rsidP="00686D04">
      <w:pPr>
        <w:pStyle w:val="Heading3"/>
        <w:spacing w:before="0" w:line="240" w:lineRule="auto"/>
        <w:rPr>
          <w:rFonts w:ascii="Times New Roman" w:hAnsi="Times New Roman" w:cs="Times New Roman"/>
          <w:i/>
          <w:iCs/>
          <w:color w:val="000000" w:themeColor="text1"/>
          <w:sz w:val="24"/>
          <w:szCs w:val="24"/>
        </w:rPr>
      </w:pPr>
      <w:r w:rsidRPr="0071347A">
        <w:rPr>
          <w:rFonts w:ascii="Times New Roman" w:hAnsi="Times New Roman" w:cs="Times New Roman"/>
          <w:i/>
          <w:iCs/>
          <w:color w:val="000000" w:themeColor="text1"/>
          <w:sz w:val="24"/>
          <w:szCs w:val="24"/>
        </w:rPr>
        <w:lastRenderedPageBreak/>
        <w:t>HIV natural history, transmission, and care cascade</w:t>
      </w:r>
    </w:p>
    <w:p w14:paraId="3643BAB0" w14:textId="77777777" w:rsidR="006E2F12" w:rsidRDefault="006E2F12" w:rsidP="00686D04">
      <w:pPr>
        <w:pStyle w:val="NormalWeb"/>
        <w:spacing w:before="0" w:beforeAutospacing="0" w:after="0" w:afterAutospacing="0"/>
        <w:jc w:val="both"/>
      </w:pPr>
      <w:r>
        <w:t>HIV natural history was represented by four states: susceptible, acute infection, chronic infection, and AIDS. The acute stage lasted a mean of 12 weeks and the chronic stage a mean of approximately 10 years; untreated AIDS survival averaged approximately two years [26]. Suppressive ART reduced disease progression by 50% and AIDS-stage mortality ten-fold. Infectiousness was stage-specific, with acute and AIDS-stage infection assigned 5-fold and 2-fold higher infectiousness, respectively, than chronic infection [26]. Individuals on ART but not yet virally suppressed had relative infectiousness of 0.30, while virally suppressed individuals had relative infectiousness of 0.01, consistent with treatment-as-prevention [27,28].</w:t>
      </w:r>
    </w:p>
    <w:p w14:paraId="28CA6C39" w14:textId="7A605DB4" w:rsidR="006E2F12" w:rsidRDefault="006E2F12" w:rsidP="00686D04">
      <w:pPr>
        <w:pStyle w:val="NormalWeb"/>
        <w:spacing w:after="0" w:afterAutospacing="0"/>
        <w:jc w:val="both"/>
      </w:pPr>
      <w:r>
        <w:t xml:space="preserve">At each weekly time step, per-partnership transmission probability was calculated from the calibrated per-act transmission probability, partnership-specific sex-act frequency, the infector’s disease stage and ART status, and susceptible-partner modifiers. The calibrated per-act transmission probability was 0.0035. Main and casual partnerships were assigned five and two sex acts per week, respectively. On the susceptible side, active </w:t>
      </w:r>
      <w:proofErr w:type="spellStart"/>
      <w:r>
        <w:t>PrEP</w:t>
      </w:r>
      <w:proofErr w:type="spellEnd"/>
      <w:r>
        <w:t xml:space="preserve"> reduced acquisition probability by 95% per act [29,30], and young women had age-graded elevated susceptibility, with multipliers of 2.0 at ages 15–19 years and 1.5 at ages 20–24 years.</w:t>
      </w:r>
      <w:r>
        <w:t xml:space="preserve"> </w:t>
      </w:r>
      <w:r>
        <w:t>The HIV care cascade comprised four states: undiagnosed, diagnosed but not on ART, on ART but not virally suppressed, and virally suppressed. Weekly transition rates were 0.01 for routine diagnosis, 0.05 for diagnosis during symptomatic AIDS, 0.50 for ART linkage, 0.10 for ART re-initiation after lapse, 0.30 for viral suppression, and 0.01 for ART discontinuation. ART availability was introduced as a time-varying scale-up, with linkage, re-initiation, and suppression rates multiplied by a factor increasing linearly from 0 before 2004 to 1 from 2014 onward, reflecting South Africa’s ART roll-out [25].</w:t>
      </w:r>
    </w:p>
    <w:p w14:paraId="2722BDCE" w14:textId="74F1DE43" w:rsidR="006E2F12" w:rsidRDefault="006E2F12" w:rsidP="00686D04">
      <w:pPr>
        <w:pStyle w:val="NormalWeb"/>
        <w:spacing w:after="0" w:afterAutospacing="0"/>
        <w:jc w:val="both"/>
      </w:pPr>
      <w:proofErr w:type="spellStart"/>
      <w:r>
        <w:t>PrEP</w:t>
      </w:r>
      <w:proofErr w:type="spellEnd"/>
      <w:r>
        <w:t xml:space="preserve"> was modelled for susceptible individuals as a 95% per-act reduction in HIV acquisition probability when active [29,30]. Individuals were </w:t>
      </w:r>
      <w:proofErr w:type="spellStart"/>
      <w:r>
        <w:t>PrEP</w:t>
      </w:r>
      <w:proofErr w:type="spellEnd"/>
      <w:r>
        <w:t xml:space="preserve">-indicated if they had partnership degree ≥2, had an HIV-positive partner, or, among reached AGYW from 2025 onward, were designated priority-population eligible. Indicated </w:t>
      </w:r>
      <w:proofErr w:type="gramStart"/>
      <w:r>
        <w:t>individuals initiated</w:t>
      </w:r>
      <w:proofErr w:type="gramEnd"/>
      <w:r>
        <w:t xml:space="preserve"> </w:t>
      </w:r>
      <w:proofErr w:type="spellStart"/>
      <w:r>
        <w:t>PrEP</w:t>
      </w:r>
      <w:proofErr w:type="spellEnd"/>
      <w:r>
        <w:t xml:space="preserve"> at 0.005 per week and discontinued at 0.027 per week, corresponding to a median duration of approximately six months. This discontinuation rate was chosen to reflect poor oral-</w:t>
      </w:r>
      <w:proofErr w:type="spellStart"/>
      <w:r>
        <w:t>PrEP</w:t>
      </w:r>
      <w:proofErr w:type="spellEnd"/>
      <w:r>
        <w:t xml:space="preserve"> continuation among AGYW and young women in South Africa and similar settings [31,32], yielding low baseline </w:t>
      </w:r>
      <w:proofErr w:type="spellStart"/>
      <w:r>
        <w:t>PrEP</w:t>
      </w:r>
      <w:proofErr w:type="spellEnd"/>
      <w:r>
        <w:t xml:space="preserve"> coverage with rapid turnover rather than an unrealistically accumulating protected population. Full parameter values are provided in Table </w:t>
      </w:r>
      <w:r w:rsidR="00A75BF7">
        <w:t>1</w:t>
      </w:r>
      <w:r w:rsidR="006E58AE">
        <w:t>S</w:t>
      </w:r>
      <w:r>
        <w:t>.</w:t>
      </w:r>
      <w:r>
        <w:t xml:space="preserve"> </w:t>
      </w:r>
      <w:r>
        <w:t>We compared the model’s emergent care cascade with national and AGYW-specific South African estimates. The calibrated model reproduced the observed AGYW shortfall relative to adults: 73% of HIV-positive AGYW were diagnosed and 62% were virally suppressed, compared with 89% and 78% among all adults. These values were consistent with South African estimates showing lower diagnosis and viral suppression among AGYW than in the adult population overall [25,33]. The AGYW shortfall emerged without cascade-specific tuning because young women were more recently infected on average and therefore had less time to be diagnosed, linked to ART, and virally suppressed.</w:t>
      </w:r>
    </w:p>
    <w:p w14:paraId="7AD85E86" w14:textId="50231C9E" w:rsidR="006E2F12" w:rsidRDefault="006E2F12" w:rsidP="00686D04">
      <w:pPr>
        <w:pStyle w:val="NormalWeb"/>
        <w:spacing w:after="0" w:afterAutospacing="0"/>
        <w:jc w:val="both"/>
      </w:pPr>
      <w:r>
        <w:t>I</w:t>
      </w:r>
      <w:r w:rsidR="006935D3">
        <w:t>n</w:t>
      </w:r>
      <w:r>
        <w:t xml:space="preserve"> the </w:t>
      </w:r>
      <w:r>
        <w:t>Aimee</w:t>
      </w:r>
      <w:r>
        <w:t xml:space="preserve"> cohort, Cox proportional-hazards models adjusted for registration month, excluding same-day events, estimated that meaningful engagement with the Aimee </w:t>
      </w:r>
      <w:r>
        <w:lastRenderedPageBreak/>
        <w:t xml:space="preserve">companion, defined as at least two active days versus single-day use, was associated with higher rates of HIV testing and </w:t>
      </w:r>
      <w:proofErr w:type="spellStart"/>
      <w:r>
        <w:t>PrEP</w:t>
      </w:r>
      <w:proofErr w:type="spellEnd"/>
      <w:r>
        <w:t xml:space="preserve"> initiation. The estimated hazard ratios were 2.11 for HIV testing and 2.22 for </w:t>
      </w:r>
      <w:proofErr w:type="spellStart"/>
      <w:r>
        <w:t>PrEP</w:t>
      </w:r>
      <w:proofErr w:type="spellEnd"/>
      <w:r>
        <w:t xml:space="preserve"> initiation [17]. Because these estimates were observational and potentially affected by self-selection, they were not applied as fully causal effects; instead, their interpretation was varied through the causal-fraction sensitivity analysis described under Intervention scenarios.</w:t>
      </w:r>
    </w:p>
    <w:p w14:paraId="650446BF" w14:textId="77777777" w:rsidR="009D2DD3" w:rsidRPr="009D2DD3" w:rsidRDefault="009D2DD3" w:rsidP="00686D04">
      <w:pPr>
        <w:spacing w:after="0" w:line="240" w:lineRule="auto"/>
        <w:rPr>
          <w:rFonts w:ascii="Times New Roman" w:hAnsi="Times New Roman" w:cs="Times New Roman"/>
          <w:sz w:val="24"/>
          <w:szCs w:val="24"/>
        </w:rPr>
      </w:pPr>
    </w:p>
    <w:p w14:paraId="31D5EA89" w14:textId="29DAE5E2" w:rsidR="00416340" w:rsidRPr="001B77FC" w:rsidRDefault="00686D04" w:rsidP="00686D04">
      <w:pPr>
        <w:pStyle w:val="Heading2"/>
        <w:spacing w:line="240" w:lineRule="auto"/>
        <w:rPr>
          <w:rFonts w:ascii="Times New Roman" w:hAnsi="Times New Roman" w:cs="Times New Roman"/>
          <w:i/>
          <w:iCs/>
          <w:color w:val="000000" w:themeColor="text1"/>
          <w:sz w:val="24"/>
          <w:szCs w:val="24"/>
        </w:rPr>
      </w:pPr>
      <w:r>
        <w:rPr>
          <w:rFonts w:ascii="Times New Roman" w:hAnsi="Times New Roman" w:cs="Times New Roman"/>
          <w:i/>
          <w:iCs/>
          <w:color w:val="000000" w:themeColor="text1"/>
          <w:sz w:val="24"/>
          <w:szCs w:val="24"/>
        </w:rPr>
        <w:t xml:space="preserve">Model </w:t>
      </w:r>
      <w:r w:rsidR="00000000" w:rsidRPr="001B77FC">
        <w:rPr>
          <w:rFonts w:ascii="Times New Roman" w:hAnsi="Times New Roman" w:cs="Times New Roman"/>
          <w:i/>
          <w:iCs/>
          <w:color w:val="000000" w:themeColor="text1"/>
          <w:sz w:val="24"/>
          <w:szCs w:val="24"/>
        </w:rPr>
        <w:t>Calibration</w:t>
      </w:r>
    </w:p>
    <w:p w14:paraId="7693579E" w14:textId="7C8E9C49" w:rsidR="00416340" w:rsidRPr="00796CDC" w:rsidRDefault="00000000" w:rsidP="00686D04">
      <w:pPr>
        <w:spacing w:after="0" w:line="240" w:lineRule="auto"/>
        <w:jc w:val="both"/>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 xml:space="preserve">The model was calibrated using the trajectory-fitting approach standard for South African HIV models, rather than to a single equilibrium cross-section. The simulation began in 1965 with a 25-year HIV-free demographic and network burn-in to allow the age structure and partnerships to reach stationarity. HIV was seeded in 1990 at 0.8% prevalence and simulated forward to 2022 with the time-varying ART scale-up. The free transmission parameter (per-act transmission probability) was fit so that the simulated prevalence and incidence trajectories reproduced </w:t>
      </w:r>
      <w:proofErr w:type="spellStart"/>
      <w:r w:rsidRPr="00796CDC">
        <w:rPr>
          <w:rFonts w:ascii="Times New Roman" w:hAnsi="Times New Roman" w:cs="Times New Roman"/>
          <w:color w:val="000000" w:themeColor="text1"/>
          <w:sz w:val="24"/>
          <w:szCs w:val="24"/>
        </w:rPr>
        <w:t>Thembisa</w:t>
      </w:r>
      <w:proofErr w:type="spellEnd"/>
      <w:r w:rsidR="0071347A">
        <w:rPr>
          <w:rFonts w:ascii="Times New Roman" w:hAnsi="Times New Roman" w:cs="Times New Roman"/>
          <w:color w:val="000000" w:themeColor="text1"/>
          <w:sz w:val="24"/>
          <w:szCs w:val="24"/>
        </w:rPr>
        <w:t xml:space="preserve"> estimates </w:t>
      </w:r>
      <w:r w:rsidRPr="00796CDC">
        <w:rPr>
          <w:rFonts w:ascii="Times New Roman" w:hAnsi="Times New Roman" w:cs="Times New Roman"/>
          <w:color w:val="000000" w:themeColor="text1"/>
          <w:sz w:val="24"/>
          <w:szCs w:val="24"/>
        </w:rPr>
        <w:t>across 1990–2022. The best-fitting value (per-act probability 0.0035) yielded a trajectory root-mean-square error of 0.031; the calibrated model reproduced the rise, peak, and ART-era decline of the South African epidemic. Network degree, age gap, and young-women susceptibility were fixed from data/literature; ART-era cascade dynamics were calibrated jointly with transmission.</w:t>
      </w:r>
    </w:p>
    <w:p w14:paraId="0D953E0A" w14:textId="77777777" w:rsidR="00416340" w:rsidRDefault="00000000" w:rsidP="00686D04">
      <w:pPr>
        <w:pStyle w:val="Heading2"/>
        <w:spacing w:line="240" w:lineRule="auto"/>
        <w:rPr>
          <w:rFonts w:ascii="Times New Roman" w:hAnsi="Times New Roman" w:cs="Times New Roman"/>
          <w:i/>
          <w:iCs/>
          <w:color w:val="000000" w:themeColor="text1"/>
          <w:sz w:val="24"/>
          <w:szCs w:val="24"/>
        </w:rPr>
      </w:pPr>
      <w:r w:rsidRPr="00D07D65">
        <w:rPr>
          <w:rFonts w:ascii="Times New Roman" w:hAnsi="Times New Roman" w:cs="Times New Roman"/>
          <w:i/>
          <w:iCs/>
          <w:color w:val="000000" w:themeColor="text1"/>
          <w:sz w:val="24"/>
          <w:szCs w:val="24"/>
        </w:rPr>
        <w:t>Intervention scenarios</w:t>
      </w:r>
    </w:p>
    <w:p w14:paraId="70C932AF" w14:textId="4B83B7F2" w:rsidR="00D07D65" w:rsidRDefault="00D07D65" w:rsidP="00686D04">
      <w:pPr>
        <w:pStyle w:val="isselectedend"/>
        <w:spacing w:before="0" w:beforeAutospacing="0" w:after="0" w:afterAutospacing="0"/>
        <w:jc w:val="both"/>
      </w:pPr>
      <w:r>
        <w:t xml:space="preserve">Aimee was represented as a behavioural intervention affecting two model parameters among reached AGYW: the HIV-testing rate and the </w:t>
      </w:r>
      <w:proofErr w:type="spellStart"/>
      <w:r>
        <w:t>PrEP</w:t>
      </w:r>
      <w:proofErr w:type="spellEnd"/>
      <w:r>
        <w:t xml:space="preserve">-initiation rate. From 2025 onward, each AGYW was designated as reached with probability equal to the scenario-specific reach. While reached individuals were aged 15–24 years, their HIV-testing and </w:t>
      </w:r>
      <w:proofErr w:type="spellStart"/>
      <w:r>
        <w:t>PrEP</w:t>
      </w:r>
      <w:proofErr w:type="spellEnd"/>
      <w:r>
        <w:t xml:space="preserve">-initiation rates were multiplied by scenario-specific rate ratios. Reached AGYW were also considered </w:t>
      </w:r>
      <w:proofErr w:type="spellStart"/>
      <w:r>
        <w:t>PrEP</w:t>
      </w:r>
      <w:proofErr w:type="spellEnd"/>
      <w:r>
        <w:t>-eligible, consistent with their priority-population status.</w:t>
      </w:r>
      <w:r w:rsidR="002C42D0">
        <w:t xml:space="preserve"> </w:t>
      </w:r>
      <w:r>
        <w:t xml:space="preserve">Rate ratios were derived from the </w:t>
      </w:r>
      <w:r w:rsidR="009D5B1A">
        <w:t>Aimee</w:t>
      </w:r>
      <w:r>
        <w:t xml:space="preserve"> cohort hazard ratios for meaningful engagement with Aimee: 2.11 for HIV testing and 2.22 for </w:t>
      </w:r>
      <w:proofErr w:type="spellStart"/>
      <w:r>
        <w:t>PrEP</w:t>
      </w:r>
      <w:proofErr w:type="spellEnd"/>
      <w:r>
        <w:t xml:space="preserve"> initiation </w:t>
      </w:r>
      <w:r>
        <w:rPr>
          <w:rStyle w:val="text-token-text-primary"/>
        </w:rPr>
        <w:t>[17]</w:t>
      </w:r>
      <w:r>
        <w:t>. Because these estimates were observational, we did not assume that the full association was causal. Instead, we scaled each hazard ratio by an assumed causal fraction:</w:t>
      </w:r>
    </w:p>
    <w:p w14:paraId="3D587A9F" w14:textId="4305F720" w:rsidR="002C42D0" w:rsidRDefault="002C42D0" w:rsidP="00686D04">
      <w:pPr>
        <w:pStyle w:val="isselectedend"/>
        <w:spacing w:after="0" w:afterAutospacing="0"/>
        <w:jc w:val="both"/>
      </w:pPr>
      <m:oMathPara>
        <m:oMath>
          <m:r>
            <w:rPr>
              <w:rFonts w:ascii="Cambria Math" w:hAnsi="Cambria Math"/>
            </w:rPr>
            <m:t>Rate ratio=1+</m:t>
          </m:r>
          <m:d>
            <m:dPr>
              <m:ctrlPr>
                <w:rPr>
                  <w:rFonts w:ascii="Cambria Math" w:hAnsi="Cambria Math"/>
                  <w:i/>
                </w:rPr>
              </m:ctrlPr>
            </m:dPr>
            <m:e>
              <m:r>
                <w:rPr>
                  <w:rFonts w:ascii="Cambria Math" w:hAnsi="Cambria Math"/>
                </w:rPr>
                <m:t>HR-1</m:t>
              </m:r>
            </m:e>
          </m:d>
          <m:r>
            <w:rPr>
              <w:rFonts w:ascii="Cambria Math" w:hAnsi="Cambria Math"/>
            </w:rPr>
            <m:t>×</m:t>
          </m:r>
          <m:r>
            <w:rPr>
              <w:rFonts w:ascii="Cambria Math" w:hAnsi="Cambria Math"/>
              <w:lang w:val="en-US"/>
            </w:rPr>
            <m:t>causal fraction</m:t>
          </m:r>
        </m:oMath>
      </m:oMathPara>
    </w:p>
    <w:p w14:paraId="301BE28B" w14:textId="6237A026" w:rsidR="00D07D65" w:rsidRDefault="00D07D65" w:rsidP="00686D04">
      <w:pPr>
        <w:pStyle w:val="NormalWeb"/>
        <w:spacing w:after="0" w:afterAutospacing="0"/>
        <w:jc w:val="both"/>
      </w:pPr>
      <w:r>
        <w:t xml:space="preserve">We evaluated a full factorial grid of three reach levels, representing 10%, 30%, or 50% of AGYW, and three causal-fraction assumptions, representing 25%, 50%, or 100% of the observed </w:t>
      </w:r>
      <w:r w:rsidR="009D5B1A">
        <w:t>Aimee</w:t>
      </w:r>
      <w:r>
        <w:t xml:space="preserve"> association. Together with a no-chatbot counterfactual, this yielded ten scenarios in total. Reach was assigned independently of baseline HIV risk in the primary analysis; targeted or risk-correlated uptake was not modelled. The resulting rate ratios are shown in Table </w:t>
      </w:r>
      <w:r w:rsidR="00A75BF7">
        <w:t>2</w:t>
      </w:r>
      <w:r w:rsidR="006E58AE">
        <w:t>S</w:t>
      </w:r>
      <w:r>
        <w:t>.</w:t>
      </w:r>
    </w:p>
    <w:p w14:paraId="28E985F0" w14:textId="77777777" w:rsidR="002C42D0" w:rsidRDefault="002C42D0" w:rsidP="00686D04">
      <w:pPr>
        <w:pStyle w:val="Heading3"/>
        <w:spacing w:line="240" w:lineRule="auto"/>
        <w:rPr>
          <w:rFonts w:ascii="Times New Roman" w:hAnsi="Times New Roman" w:cs="Times New Roman"/>
          <w:color w:val="000000" w:themeColor="text1"/>
          <w:sz w:val="24"/>
          <w:szCs w:val="24"/>
        </w:rPr>
      </w:pPr>
    </w:p>
    <w:p w14:paraId="23224BCA" w14:textId="3C7D2B0E" w:rsidR="002C42D0" w:rsidRPr="002C42D0" w:rsidRDefault="002C42D0" w:rsidP="00686D04">
      <w:pPr>
        <w:pStyle w:val="Heading3"/>
        <w:spacing w:line="240" w:lineRule="auto"/>
        <w:rPr>
          <w:rFonts w:ascii="Times New Roman" w:hAnsi="Times New Roman" w:cs="Times New Roman"/>
          <w:i/>
          <w:iCs/>
          <w:color w:val="000000" w:themeColor="text1"/>
          <w:sz w:val="24"/>
          <w:szCs w:val="24"/>
        </w:rPr>
      </w:pPr>
      <w:r w:rsidRPr="002C42D0">
        <w:rPr>
          <w:rFonts w:ascii="Times New Roman" w:hAnsi="Times New Roman" w:cs="Times New Roman"/>
          <w:i/>
          <w:iCs/>
          <w:color w:val="000000" w:themeColor="text1"/>
          <w:sz w:val="24"/>
          <w:szCs w:val="24"/>
        </w:rPr>
        <w:t>Implementation strategies: demand generation versus persistence support</w:t>
      </w:r>
    </w:p>
    <w:p w14:paraId="3894F132" w14:textId="2E48CB47" w:rsidR="002C42D0" w:rsidRDefault="002C42D0" w:rsidP="00686D04">
      <w:pPr>
        <w:pStyle w:val="isselectedend"/>
        <w:spacing w:before="0" w:beforeAutospacing="0" w:after="0" w:afterAutospacing="0"/>
        <w:jc w:val="both"/>
      </w:pPr>
      <w:r>
        <w:t xml:space="preserve">To inform programme design, we conducted a secondary analysis decomposing the </w:t>
      </w:r>
      <w:proofErr w:type="spellStart"/>
      <w:r>
        <w:t>PrEP</w:t>
      </w:r>
      <w:proofErr w:type="spellEnd"/>
      <w:r>
        <w:t xml:space="preserve"> effect into two implementation levers through which a chatbot could plausibly act: </w:t>
      </w:r>
      <w:proofErr w:type="spellStart"/>
      <w:r>
        <w:t>PrEP</w:t>
      </w:r>
      <w:proofErr w:type="spellEnd"/>
      <w:r>
        <w:t xml:space="preserve"> demand generation and </w:t>
      </w:r>
      <w:proofErr w:type="spellStart"/>
      <w:r>
        <w:t>PrEP</w:t>
      </w:r>
      <w:proofErr w:type="spellEnd"/>
      <w:r>
        <w:t xml:space="preserve"> persistence support. This analysis was conducted at fixed </w:t>
      </w:r>
      <w:r>
        <w:lastRenderedPageBreak/>
        <w:t xml:space="preserve">50% AGYW reach and under the central </w:t>
      </w:r>
      <w:proofErr w:type="spellStart"/>
      <w:r>
        <w:t>PrEP</w:t>
      </w:r>
      <w:proofErr w:type="spellEnd"/>
      <w:r>
        <w:t xml:space="preserve">-initiation effect, with HIV-testing rates held at baseline to isolate the </w:t>
      </w:r>
      <w:proofErr w:type="spellStart"/>
      <w:r>
        <w:t>PrEP</w:t>
      </w:r>
      <w:proofErr w:type="spellEnd"/>
      <w:r>
        <w:t xml:space="preserve"> pathway.</w:t>
      </w:r>
      <w:r>
        <w:t xml:space="preserve"> </w:t>
      </w:r>
      <w:r>
        <w:t xml:space="preserve">We compared three strategies. First, under </w:t>
      </w:r>
      <w:r w:rsidRPr="002C42D0">
        <w:rPr>
          <w:rStyle w:val="Strong"/>
          <w:b w:val="0"/>
          <w:bCs w:val="0"/>
        </w:rPr>
        <w:t>demand generation</w:t>
      </w:r>
      <w:r>
        <w:t xml:space="preserve">, the chatbot expanded </w:t>
      </w:r>
      <w:proofErr w:type="spellStart"/>
      <w:r>
        <w:t>PrEP</w:t>
      </w:r>
      <w:proofErr w:type="spellEnd"/>
      <w:r>
        <w:t xml:space="preserve"> eligibility among reached AGYW and increased their </w:t>
      </w:r>
      <w:proofErr w:type="spellStart"/>
      <w:r>
        <w:t>PrEP</w:t>
      </w:r>
      <w:proofErr w:type="spellEnd"/>
      <w:r>
        <w:t xml:space="preserve">-initiation rate, corresponding to the </w:t>
      </w:r>
      <w:proofErr w:type="spellStart"/>
      <w:r>
        <w:t>PrEP</w:t>
      </w:r>
      <w:proofErr w:type="spellEnd"/>
      <w:r>
        <w:t xml:space="preserve"> mechanism used in the primary intervention analysis. Second, under </w:t>
      </w:r>
      <w:r w:rsidRPr="002C42D0">
        <w:rPr>
          <w:rStyle w:val="Strong"/>
          <w:b w:val="0"/>
          <w:bCs w:val="0"/>
        </w:rPr>
        <w:t>persistence support</w:t>
      </w:r>
      <w:r>
        <w:t xml:space="preserve">, the chatbot did not recruit new </w:t>
      </w:r>
      <w:proofErr w:type="spellStart"/>
      <w:r>
        <w:t>PrEP</w:t>
      </w:r>
      <w:proofErr w:type="spellEnd"/>
      <w:r>
        <w:t xml:space="preserve"> users but reduced discontinuation among reached AGYW already receiving </w:t>
      </w:r>
      <w:proofErr w:type="spellStart"/>
      <w:r>
        <w:t>PrEP</w:t>
      </w:r>
      <w:proofErr w:type="spellEnd"/>
      <w:r>
        <w:t xml:space="preserve">, representing digital adherence and retention support. Third, under the </w:t>
      </w:r>
      <w:r w:rsidRPr="002C42D0">
        <w:rPr>
          <w:rStyle w:val="Strong"/>
          <w:b w:val="0"/>
          <w:bCs w:val="0"/>
        </w:rPr>
        <w:t>combined strategy</w:t>
      </w:r>
      <w:r w:rsidRPr="002C42D0">
        <w:rPr>
          <w:b/>
          <w:bCs/>
        </w:rPr>
        <w:t>,</w:t>
      </w:r>
      <w:r>
        <w:t xml:space="preserve"> the chatbot both increased </w:t>
      </w:r>
      <w:proofErr w:type="spellStart"/>
      <w:r>
        <w:t>PrEP</w:t>
      </w:r>
      <w:proofErr w:type="spellEnd"/>
      <w:r>
        <w:t xml:space="preserve"> </w:t>
      </w:r>
      <w:r w:rsidR="00965A15">
        <w:t>uptake</w:t>
      </w:r>
      <w:r>
        <w:t xml:space="preserve"> and reduced </w:t>
      </w:r>
      <w:proofErr w:type="spellStart"/>
      <w:r>
        <w:t>PrEP</w:t>
      </w:r>
      <w:proofErr w:type="spellEnd"/>
      <w:r>
        <w:t xml:space="preserve"> discontinuation.</w:t>
      </w:r>
    </w:p>
    <w:p w14:paraId="44F5E035" w14:textId="7DFC6B31" w:rsidR="002C42D0" w:rsidRDefault="002C42D0" w:rsidP="00686D04">
      <w:pPr>
        <w:pStyle w:val="NormalWeb"/>
        <w:spacing w:after="0" w:afterAutospacing="0"/>
        <w:jc w:val="both"/>
      </w:pPr>
      <w:r>
        <w:t xml:space="preserve">Because the </w:t>
      </w:r>
      <w:r>
        <w:t>Aimee</w:t>
      </w:r>
      <w:r>
        <w:t xml:space="preserve"> cohort estimated an association with </w:t>
      </w:r>
      <w:proofErr w:type="spellStart"/>
      <w:r>
        <w:t>PrEP</w:t>
      </w:r>
      <w:proofErr w:type="spellEnd"/>
      <w:r>
        <w:t xml:space="preserve"> </w:t>
      </w:r>
      <w:r>
        <w:t>uptake</w:t>
      </w:r>
      <w:r>
        <w:t xml:space="preserve"> but did not estimate an effect on </w:t>
      </w:r>
      <w:proofErr w:type="spellStart"/>
      <w:r>
        <w:t>PrEP</w:t>
      </w:r>
      <w:proofErr w:type="spellEnd"/>
      <w:r>
        <w:t xml:space="preserve"> continuation, the persistence effect was explored as a scenario analysis rather than treated as an empirically estimated parameter. We evaluated 20%, 40%, and 60% reductions in the weekly </w:t>
      </w:r>
      <w:proofErr w:type="spellStart"/>
      <w:r>
        <w:t>PrEP</w:t>
      </w:r>
      <w:proofErr w:type="spellEnd"/>
      <w:r>
        <w:t xml:space="preserve">-discontinuation rate. These reductions increased the median duration on </w:t>
      </w:r>
      <w:proofErr w:type="spellStart"/>
      <w:r>
        <w:t>PrEP</w:t>
      </w:r>
      <w:proofErr w:type="spellEnd"/>
      <w:r>
        <w:t xml:space="preserve"> from approximately 6 months at baseline to approximately 7.4, 9.8, and 14.8 months, respectively. These scenarios were chosen to span plausible effects for digital adherence or retention-support interventions</w:t>
      </w:r>
      <w:r w:rsidR="006E58AE">
        <w:t xml:space="preserve"> as shown in Table </w:t>
      </w:r>
      <w:r w:rsidR="00A75BF7">
        <w:t>3</w:t>
      </w:r>
      <w:r w:rsidR="006E58AE">
        <w:t>S</w:t>
      </w:r>
      <w:r>
        <w:t>.</w:t>
      </w:r>
    </w:p>
    <w:p w14:paraId="30D701B5" w14:textId="77777777" w:rsidR="003F61E2" w:rsidRDefault="003F61E2" w:rsidP="00686D04">
      <w:pPr>
        <w:pStyle w:val="NormalWeb"/>
        <w:spacing w:after="0" w:afterAutospacing="0"/>
        <w:jc w:val="both"/>
      </w:pPr>
    </w:p>
    <w:p w14:paraId="36C13B8A" w14:textId="77777777" w:rsidR="00965A15" w:rsidRDefault="00965A15" w:rsidP="00686D04">
      <w:pPr>
        <w:spacing w:after="0" w:line="240" w:lineRule="auto"/>
        <w:jc w:val="both"/>
        <w:rPr>
          <w:rFonts w:ascii="Times New Roman" w:eastAsiaTheme="majorEastAsia" w:hAnsi="Times New Roman" w:cs="Times New Roman"/>
          <w:b/>
          <w:bCs/>
          <w:i/>
          <w:iCs/>
          <w:color w:val="000000" w:themeColor="text1"/>
          <w:sz w:val="24"/>
          <w:szCs w:val="24"/>
        </w:rPr>
      </w:pPr>
      <w:r w:rsidRPr="00965A15">
        <w:rPr>
          <w:rFonts w:ascii="Times New Roman" w:eastAsiaTheme="majorEastAsia" w:hAnsi="Times New Roman" w:cs="Times New Roman"/>
          <w:b/>
          <w:bCs/>
          <w:i/>
          <w:iCs/>
          <w:color w:val="000000" w:themeColor="text1"/>
          <w:sz w:val="24"/>
          <w:szCs w:val="24"/>
        </w:rPr>
        <w:t>Simulation analysis</w:t>
      </w:r>
    </w:p>
    <w:p w14:paraId="02A285B1" w14:textId="77777777" w:rsidR="00965A15" w:rsidRDefault="00965A15" w:rsidP="00686D04">
      <w:pPr>
        <w:pStyle w:val="isselectedend"/>
        <w:spacing w:before="0" w:beforeAutospacing="0" w:after="0" w:afterAutospacing="0"/>
        <w:jc w:val="both"/>
      </w:pPr>
      <w:r>
        <w:t xml:space="preserve">For each scenario, simulations were projected to 2035. The primary outcome was the cumulative number of HIV infections among AGYW over 2025–2035, scaled to the national AGYW population of 5,071,746 using </w:t>
      </w:r>
      <w:proofErr w:type="spellStart"/>
      <w:r>
        <w:t>Thembisa</w:t>
      </w:r>
      <w:proofErr w:type="spellEnd"/>
      <w:r>
        <w:t xml:space="preserve"> 2022 estimates </w:t>
      </w:r>
      <w:r>
        <w:rPr>
          <w:rStyle w:val="text-token-text-primary"/>
        </w:rPr>
        <w:t>[25]</w:t>
      </w:r>
      <w:r>
        <w:t>. To reduce stochastic noise when estimating intervention effects, we used a paired common-random-number design. Each replicate used the same random seed across the no-chatbot baseline and all intervention scenarios, so paired simulations shared an identical pre-2025 epidemic history and diverged only after chatbot introduction. Alignment was verified by confirming that pre-2025 AGYW infection counts were identical across scenarios within each replicate.</w:t>
      </w:r>
    </w:p>
    <w:p w14:paraId="2FEF7A25" w14:textId="21D7DCE0" w:rsidR="00965A15" w:rsidRDefault="00965A15" w:rsidP="00686D04">
      <w:pPr>
        <w:pStyle w:val="isselectedend"/>
        <w:spacing w:after="0" w:afterAutospacing="0"/>
        <w:jc w:val="both"/>
      </w:pPr>
      <w:r>
        <w:t xml:space="preserve">We ran </w:t>
      </w:r>
      <w:r w:rsidR="00740DA2">
        <w:t>20</w:t>
      </w:r>
      <w:r>
        <w:t xml:space="preserve"> replicates per scenario with a simulated population size of 10,000, parallelised across scenario-by-replicate tasks. For each intervention scenario, the effect estimate was calculated as the paired within-replicate difference in nationally scaled AGYW infections between the no-chatbot baseline and the intervention scenario. We report the mean number of infections averted</w:t>
      </w:r>
      <w:r w:rsidR="00E71DE8">
        <w:t xml:space="preserve"> and</w:t>
      </w:r>
      <w:r>
        <w:t xml:space="preserve"> 95% confidence intervals. These confidence intervals quantify Monte Carlo uncertainty across simulation replicates under fixed model assumptions; broader parameter and structural uncertainty was explored through the scenario and sensitivity analyses.</w:t>
      </w:r>
    </w:p>
    <w:p w14:paraId="112DA2AE" w14:textId="77777777" w:rsidR="00965A15" w:rsidRDefault="00965A15" w:rsidP="00686D04">
      <w:pPr>
        <w:pStyle w:val="NormalWeb"/>
        <w:spacing w:after="0" w:afterAutospacing="0"/>
        <w:jc w:val="both"/>
      </w:pPr>
      <w:r>
        <w:t xml:space="preserve">The model was implemented in R using </w:t>
      </w:r>
      <w:proofErr w:type="spellStart"/>
      <w:r>
        <w:t>EpiModel</w:t>
      </w:r>
      <w:proofErr w:type="spellEnd"/>
      <w:r>
        <w:t xml:space="preserve"> 2.6.1 and the </w:t>
      </w:r>
      <w:proofErr w:type="spellStart"/>
      <w:r>
        <w:t>statnet</w:t>
      </w:r>
      <w:proofErr w:type="spellEnd"/>
      <w:r>
        <w:t xml:space="preserve"> </w:t>
      </w:r>
      <w:proofErr w:type="spellStart"/>
      <w:r>
        <w:t>ergm</w:t>
      </w:r>
      <w:proofErr w:type="spellEnd"/>
      <w:r>
        <w:t>/</w:t>
      </w:r>
      <w:proofErr w:type="spellStart"/>
      <w:r>
        <w:t>tergm</w:t>
      </w:r>
      <w:proofErr w:type="spellEnd"/>
      <w:r>
        <w:t xml:space="preserve"> framework </w:t>
      </w:r>
      <w:r>
        <w:rPr>
          <w:rStyle w:val="text-token-text-primary"/>
        </w:rPr>
        <w:t>[18,19]</w:t>
      </w:r>
      <w:r>
        <w:t>. Analysis code is available in the study repository.</w:t>
      </w:r>
    </w:p>
    <w:p w14:paraId="6ABA57FD" w14:textId="77777777" w:rsidR="00965A15" w:rsidRPr="00965A15" w:rsidRDefault="00965A15" w:rsidP="00686D04">
      <w:pPr>
        <w:spacing w:after="0" w:line="240" w:lineRule="auto"/>
        <w:jc w:val="both"/>
        <w:rPr>
          <w:rFonts w:ascii="Times New Roman" w:eastAsiaTheme="majorEastAsia" w:hAnsi="Times New Roman" w:cs="Times New Roman"/>
          <w:color w:val="000000" w:themeColor="text1"/>
          <w:sz w:val="24"/>
          <w:szCs w:val="24"/>
        </w:rPr>
      </w:pPr>
    </w:p>
    <w:p w14:paraId="6FF86994" w14:textId="77777777" w:rsidR="00416340" w:rsidRPr="009D2DD3" w:rsidRDefault="00000000" w:rsidP="00686D04">
      <w:pPr>
        <w:pStyle w:val="Heading2"/>
        <w:spacing w:line="240" w:lineRule="auto"/>
        <w:rPr>
          <w:rFonts w:ascii="Times New Roman" w:hAnsi="Times New Roman" w:cs="Times New Roman"/>
          <w:color w:val="000000" w:themeColor="text1"/>
          <w:sz w:val="24"/>
          <w:szCs w:val="24"/>
        </w:rPr>
      </w:pPr>
      <w:r w:rsidRPr="009D2DD3">
        <w:rPr>
          <w:rFonts w:ascii="Times New Roman" w:hAnsi="Times New Roman" w:cs="Times New Roman"/>
          <w:color w:val="000000" w:themeColor="text1"/>
          <w:sz w:val="24"/>
          <w:szCs w:val="24"/>
        </w:rPr>
        <w:t>Ethical considerations</w:t>
      </w:r>
    </w:p>
    <w:p w14:paraId="0FC0277B" w14:textId="77777777" w:rsidR="00965A15" w:rsidRDefault="00965A15" w:rsidP="00686D04">
      <w:pPr>
        <w:pStyle w:val="isselectedend"/>
        <w:spacing w:before="0" w:beforeAutospacing="0" w:after="0" w:afterAutospacing="0"/>
        <w:jc w:val="both"/>
      </w:pPr>
      <w:r>
        <w:t xml:space="preserve">Only aggregate, de-identified, study-level summary statistics from the Aimee/Clover study were used to parameterise the model. No individual-level participant data were incorporated into the model, included in the simulation outputs, or distributed with the </w:t>
      </w:r>
      <w:r>
        <w:lastRenderedPageBreak/>
        <w:t>analysis code. The modelling analysis therefore did not involve direct interaction with human participants and did not generate identifiable participant-level data.</w:t>
      </w:r>
    </w:p>
    <w:p w14:paraId="59B75480" w14:textId="23B7902D" w:rsidR="00965A15" w:rsidRDefault="00965A15" w:rsidP="00686D04">
      <w:pPr>
        <w:pStyle w:val="NormalWeb"/>
        <w:spacing w:before="0" w:beforeAutospacing="0" w:after="0" w:afterAutospacing="0"/>
        <w:jc w:val="both"/>
      </w:pPr>
      <w:r>
        <w:t>The original Aimee</w:t>
      </w:r>
      <w:r>
        <w:t xml:space="preserve"> </w:t>
      </w:r>
      <w:r>
        <w:t>study was conducted under the relevant institutional ethics approvals and participant consent procedures. The present modelling analysis used only de-identified aggregate estimates derived from that study</w:t>
      </w:r>
    </w:p>
    <w:p w14:paraId="54D535AC" w14:textId="77777777" w:rsidR="00416340" w:rsidRPr="00796CDC" w:rsidRDefault="00000000" w:rsidP="00686D04">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br w:type="page"/>
      </w:r>
    </w:p>
    <w:p w14:paraId="1278E90B" w14:textId="77777777" w:rsidR="00416340" w:rsidRPr="0071347A" w:rsidRDefault="00000000" w:rsidP="00686D04">
      <w:pPr>
        <w:pStyle w:val="Heading1"/>
        <w:spacing w:line="240" w:lineRule="auto"/>
        <w:rPr>
          <w:rFonts w:ascii="Times New Roman" w:hAnsi="Times New Roman" w:cs="Times New Roman"/>
          <w:color w:val="000000" w:themeColor="text1"/>
          <w:sz w:val="24"/>
          <w:szCs w:val="24"/>
        </w:rPr>
      </w:pPr>
      <w:r w:rsidRPr="0071347A">
        <w:rPr>
          <w:rFonts w:ascii="Times New Roman" w:hAnsi="Times New Roman" w:cs="Times New Roman"/>
          <w:color w:val="000000" w:themeColor="text1"/>
          <w:sz w:val="24"/>
          <w:szCs w:val="24"/>
        </w:rPr>
        <w:lastRenderedPageBreak/>
        <w:t>Results</w:t>
      </w:r>
    </w:p>
    <w:p w14:paraId="43911181" w14:textId="77777777" w:rsidR="00416340" w:rsidRPr="0071347A" w:rsidRDefault="00000000" w:rsidP="00686D04">
      <w:pPr>
        <w:pStyle w:val="Heading2"/>
        <w:spacing w:line="240" w:lineRule="auto"/>
        <w:rPr>
          <w:rFonts w:ascii="Times New Roman" w:hAnsi="Times New Roman" w:cs="Times New Roman"/>
          <w:i/>
          <w:iCs/>
          <w:color w:val="000000" w:themeColor="text1"/>
          <w:sz w:val="24"/>
          <w:szCs w:val="24"/>
        </w:rPr>
      </w:pPr>
      <w:r w:rsidRPr="0071347A">
        <w:rPr>
          <w:rFonts w:ascii="Times New Roman" w:hAnsi="Times New Roman" w:cs="Times New Roman"/>
          <w:i/>
          <w:iCs/>
          <w:color w:val="000000" w:themeColor="text1"/>
          <w:sz w:val="24"/>
          <w:szCs w:val="24"/>
        </w:rPr>
        <w:t>Calibrated baseline model</w:t>
      </w:r>
    </w:p>
    <w:p w14:paraId="2F5958C8" w14:textId="4C6595A8" w:rsidR="00416340" w:rsidRDefault="00000000" w:rsidP="00686D04">
      <w:pPr>
        <w:spacing w:after="0" w:line="240" w:lineRule="auto"/>
        <w:jc w:val="both"/>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 xml:space="preserve">The calibrated model reproduced the South African HIV epidemic trajectory from 1990 to 2022. Following HIV introduction in 1990, simulated prevalence among women aged 15–24 rose through the 1990s, peaked at approximately 15–16% in the early-to-mid 2000s, and declined to </w:t>
      </w:r>
      <w:r w:rsidR="009D5B1A">
        <w:rPr>
          <w:rFonts w:ascii="Times New Roman" w:hAnsi="Times New Roman" w:cs="Times New Roman"/>
          <w:color w:val="000000" w:themeColor="text1"/>
          <w:sz w:val="24"/>
          <w:szCs w:val="24"/>
        </w:rPr>
        <w:t xml:space="preserve">approximately </w:t>
      </w:r>
      <w:r w:rsidRPr="00796CDC">
        <w:rPr>
          <w:rFonts w:ascii="Times New Roman" w:hAnsi="Times New Roman" w:cs="Times New Roman"/>
          <w:color w:val="000000" w:themeColor="text1"/>
          <w:sz w:val="24"/>
          <w:szCs w:val="24"/>
        </w:rPr>
        <w:t>8% by 2022 as ART scaled up</w:t>
      </w:r>
      <w:r w:rsidR="0071347A">
        <w:rPr>
          <w:rFonts w:ascii="Times New Roman" w:hAnsi="Times New Roman" w:cs="Times New Roman"/>
          <w:color w:val="000000" w:themeColor="text1"/>
          <w:sz w:val="24"/>
          <w:szCs w:val="24"/>
        </w:rPr>
        <w:t xml:space="preserve">, </w:t>
      </w:r>
      <w:r w:rsidRPr="00796CDC">
        <w:rPr>
          <w:rFonts w:ascii="Times New Roman" w:hAnsi="Times New Roman" w:cs="Times New Roman"/>
          <w:color w:val="000000" w:themeColor="text1"/>
          <w:sz w:val="24"/>
          <w:szCs w:val="24"/>
        </w:rPr>
        <w:t xml:space="preserve">closely tracking the </w:t>
      </w:r>
      <w:proofErr w:type="spellStart"/>
      <w:r w:rsidRPr="00796CDC">
        <w:rPr>
          <w:rFonts w:ascii="Times New Roman" w:hAnsi="Times New Roman" w:cs="Times New Roman"/>
          <w:color w:val="000000" w:themeColor="text1"/>
          <w:sz w:val="24"/>
          <w:szCs w:val="24"/>
        </w:rPr>
        <w:t>Thembisa</w:t>
      </w:r>
      <w:proofErr w:type="spellEnd"/>
      <w:r w:rsidRPr="00796CDC">
        <w:rPr>
          <w:rFonts w:ascii="Times New Roman" w:hAnsi="Times New Roman" w:cs="Times New Roman"/>
          <w:color w:val="000000" w:themeColor="text1"/>
          <w:sz w:val="24"/>
          <w:szCs w:val="24"/>
        </w:rPr>
        <w:t xml:space="preserve"> estimates. Adult (15–49) prevalence followed the same rise–peak–decline pattern, peaking at </w:t>
      </w:r>
      <w:r w:rsidR="009D5B1A">
        <w:rPr>
          <w:rFonts w:ascii="Times New Roman" w:hAnsi="Times New Roman" w:cs="Times New Roman"/>
          <w:color w:val="000000" w:themeColor="text1"/>
          <w:sz w:val="24"/>
          <w:szCs w:val="24"/>
        </w:rPr>
        <w:t xml:space="preserve">approximately </w:t>
      </w:r>
      <w:r w:rsidRPr="00796CDC">
        <w:rPr>
          <w:rFonts w:ascii="Times New Roman" w:hAnsi="Times New Roman" w:cs="Times New Roman"/>
          <w:color w:val="000000" w:themeColor="text1"/>
          <w:sz w:val="24"/>
          <w:szCs w:val="24"/>
        </w:rPr>
        <w:t>19–21%. The best-fitting per-act transmission probability (0.0035) produced a trajectory root-mean-square error of 0.031 against the joint prevalence and incidence targets. The model reproduced the age-disparate structure underlying AGYW risk: HIV prevalence in the older male partner pool (men 25–44) rose steeply with age (</w:t>
      </w:r>
      <w:r w:rsidR="00740DA2">
        <w:rPr>
          <w:rFonts w:ascii="Times New Roman" w:hAnsi="Times New Roman" w:cs="Times New Roman"/>
          <w:color w:val="000000" w:themeColor="text1"/>
          <w:sz w:val="24"/>
          <w:szCs w:val="24"/>
        </w:rPr>
        <w:t xml:space="preserve">approximately; </w:t>
      </w:r>
      <w:r w:rsidRPr="00796CDC">
        <w:rPr>
          <w:rFonts w:ascii="Times New Roman" w:hAnsi="Times New Roman" w:cs="Times New Roman"/>
          <w:color w:val="000000" w:themeColor="text1"/>
          <w:sz w:val="24"/>
          <w:szCs w:val="24"/>
        </w:rPr>
        <w:t xml:space="preserve">7% </w:t>
      </w:r>
      <w:r w:rsidR="00740DA2">
        <w:rPr>
          <w:rFonts w:ascii="Times New Roman" w:hAnsi="Times New Roman" w:cs="Times New Roman"/>
          <w:color w:val="000000" w:themeColor="text1"/>
          <w:sz w:val="24"/>
          <w:szCs w:val="24"/>
        </w:rPr>
        <w:t>-</w:t>
      </w:r>
      <w:r w:rsidRPr="00796CDC">
        <w:rPr>
          <w:rFonts w:ascii="Times New Roman" w:hAnsi="Times New Roman" w:cs="Times New Roman"/>
          <w:color w:val="000000" w:themeColor="text1"/>
          <w:sz w:val="24"/>
          <w:szCs w:val="24"/>
        </w:rPr>
        <w:t>22%), against which AGYW acquired infection (Figure 1).</w:t>
      </w:r>
    </w:p>
    <w:p w14:paraId="5260D2B0" w14:textId="77777777" w:rsidR="00740DA2" w:rsidRPr="00796CDC" w:rsidRDefault="00740DA2" w:rsidP="00686D04">
      <w:pPr>
        <w:spacing w:after="0" w:line="240" w:lineRule="auto"/>
        <w:jc w:val="center"/>
        <w:rPr>
          <w:rFonts w:ascii="Times New Roman" w:hAnsi="Times New Roman" w:cs="Times New Roman"/>
          <w:color w:val="000000" w:themeColor="text1"/>
          <w:sz w:val="24"/>
          <w:szCs w:val="24"/>
        </w:rPr>
      </w:pPr>
      <w:r w:rsidRPr="00796CDC">
        <w:rPr>
          <w:rFonts w:ascii="Times New Roman" w:hAnsi="Times New Roman" w:cs="Times New Roman"/>
          <w:noProof/>
          <w:color w:val="000000" w:themeColor="text1"/>
          <w:sz w:val="24"/>
          <w:szCs w:val="24"/>
        </w:rPr>
        <w:drawing>
          <wp:inline distT="0" distB="0" distL="0" distR="0" wp14:anchorId="2353AAEE" wp14:editId="71C1F752">
            <wp:extent cx="5943600" cy="1827475"/>
            <wp:effectExtent l="0" t="0" r="0" b="1905"/>
            <wp:docPr id="536379531" name="Picture 536379531" descr="A graph with a red line and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79531" name="Picture 536379531" descr="A graph with a red line and black line&#10;&#10;AI-generated content may be incorrect."/>
                    <pic:cNvPicPr/>
                  </pic:nvPicPr>
                  <pic:blipFill rotWithShape="1">
                    <a:blip r:embed="rId12"/>
                    <a:srcRect t="4831"/>
                    <a:stretch>
                      <a:fillRect/>
                    </a:stretch>
                  </pic:blipFill>
                  <pic:spPr bwMode="auto">
                    <a:xfrm>
                      <a:off x="0" y="0"/>
                      <a:ext cx="5943600" cy="1827475"/>
                    </a:xfrm>
                    <a:prstGeom prst="rect">
                      <a:avLst/>
                    </a:prstGeom>
                    <a:ln>
                      <a:noFill/>
                    </a:ln>
                    <a:extLst>
                      <a:ext uri="{53640926-AAD7-44D8-BBD7-CCE9431645EC}">
                        <a14:shadowObscured xmlns:a14="http://schemas.microsoft.com/office/drawing/2010/main"/>
                      </a:ext>
                    </a:extLst>
                  </pic:spPr>
                </pic:pic>
              </a:graphicData>
            </a:graphic>
          </wp:inline>
        </w:drawing>
      </w:r>
    </w:p>
    <w:p w14:paraId="677F8D11" w14:textId="2DF93C9D" w:rsidR="00740DA2" w:rsidRPr="00740DA2" w:rsidRDefault="00740DA2" w:rsidP="00686D04">
      <w:pPr>
        <w:spacing w:after="0" w:line="240" w:lineRule="auto"/>
        <w:jc w:val="both"/>
        <w:rPr>
          <w:rFonts w:ascii="Times New Roman" w:hAnsi="Times New Roman" w:cs="Times New Roman"/>
          <w:color w:val="000000" w:themeColor="text1"/>
          <w:sz w:val="24"/>
          <w:szCs w:val="24"/>
        </w:rPr>
      </w:pPr>
      <w:r w:rsidRPr="00740DA2">
        <w:rPr>
          <w:rFonts w:ascii="Times New Roman" w:hAnsi="Times New Roman" w:cs="Times New Roman"/>
          <w:color w:val="000000" w:themeColor="text1"/>
          <w:sz w:val="24"/>
          <w:szCs w:val="24"/>
        </w:rPr>
        <w:t xml:space="preserve">Figure 1. Model calibration to the South African HIV epidemic, 1990–2022. Simulated HIV prevalence among women 15–24 and adults 15–49, and HIV incidence among women 15–24 (median and 95% simulation interval across replicates), against </w:t>
      </w:r>
      <w:proofErr w:type="spellStart"/>
      <w:r w:rsidRPr="00740DA2">
        <w:rPr>
          <w:rFonts w:ascii="Times New Roman" w:hAnsi="Times New Roman" w:cs="Times New Roman"/>
          <w:color w:val="000000" w:themeColor="text1"/>
          <w:sz w:val="24"/>
          <w:szCs w:val="24"/>
        </w:rPr>
        <w:t>Thembisa</w:t>
      </w:r>
      <w:proofErr w:type="spellEnd"/>
      <w:r>
        <w:rPr>
          <w:rFonts w:ascii="Times New Roman" w:hAnsi="Times New Roman" w:cs="Times New Roman"/>
          <w:color w:val="000000" w:themeColor="text1"/>
          <w:sz w:val="24"/>
          <w:szCs w:val="24"/>
        </w:rPr>
        <w:t xml:space="preserve"> estimates</w:t>
      </w:r>
      <w:r w:rsidRPr="00740DA2">
        <w:rPr>
          <w:rFonts w:ascii="Times New Roman" w:hAnsi="Times New Roman" w:cs="Times New Roman"/>
          <w:color w:val="000000" w:themeColor="text1"/>
          <w:sz w:val="24"/>
          <w:szCs w:val="24"/>
        </w:rPr>
        <w:t>. The calibrated model (per-act transmission probability 0.0035) reproduced the rise, peak, and ART-era decline of the epidemic (trajectory RMSE 0.031).</w:t>
      </w:r>
    </w:p>
    <w:p w14:paraId="0415C630" w14:textId="77777777" w:rsidR="00740DA2" w:rsidRPr="00796CDC" w:rsidRDefault="00740DA2" w:rsidP="00686D04">
      <w:pPr>
        <w:spacing w:after="0" w:line="240" w:lineRule="auto"/>
        <w:jc w:val="both"/>
        <w:rPr>
          <w:rFonts w:ascii="Times New Roman" w:hAnsi="Times New Roman" w:cs="Times New Roman"/>
          <w:color w:val="000000" w:themeColor="text1"/>
          <w:sz w:val="24"/>
          <w:szCs w:val="24"/>
        </w:rPr>
      </w:pPr>
    </w:p>
    <w:p w14:paraId="11AFBF1C" w14:textId="77777777" w:rsidR="00416340" w:rsidRPr="00740DA2" w:rsidRDefault="00000000" w:rsidP="00686D04">
      <w:pPr>
        <w:pStyle w:val="Heading2"/>
        <w:spacing w:line="240" w:lineRule="auto"/>
        <w:rPr>
          <w:rFonts w:ascii="Times New Roman" w:hAnsi="Times New Roman" w:cs="Times New Roman"/>
          <w:i/>
          <w:iCs/>
          <w:color w:val="000000" w:themeColor="text1"/>
          <w:sz w:val="24"/>
          <w:szCs w:val="24"/>
        </w:rPr>
      </w:pPr>
      <w:r w:rsidRPr="00740DA2">
        <w:rPr>
          <w:rFonts w:ascii="Times New Roman" w:hAnsi="Times New Roman" w:cs="Times New Roman"/>
          <w:i/>
          <w:iCs/>
          <w:color w:val="000000" w:themeColor="text1"/>
          <w:sz w:val="24"/>
          <w:szCs w:val="24"/>
        </w:rPr>
        <w:t>Baseline care cascade reproduces the South African AGYW gap</w:t>
      </w:r>
    </w:p>
    <w:p w14:paraId="5296E050" w14:textId="71415437" w:rsidR="00416340" w:rsidRPr="00796CDC" w:rsidRDefault="00740DA2" w:rsidP="00686D04">
      <w:pPr>
        <w:spacing w:after="0" w:line="240" w:lineRule="auto"/>
        <w:jc w:val="both"/>
        <w:rPr>
          <w:rFonts w:ascii="Times New Roman" w:hAnsi="Times New Roman" w:cs="Times New Roman"/>
          <w:color w:val="000000" w:themeColor="text1"/>
          <w:sz w:val="24"/>
          <w:szCs w:val="24"/>
        </w:rPr>
      </w:pPr>
      <w:r w:rsidRPr="00740DA2">
        <w:rPr>
          <w:rFonts w:ascii="Times New Roman" w:hAnsi="Times New Roman" w:cs="Times New Roman"/>
          <w:color w:val="000000" w:themeColor="text1"/>
          <w:sz w:val="24"/>
          <w:szCs w:val="24"/>
        </w:rPr>
        <w:t xml:space="preserve">Before projecting intervention scenarios, we compared the model’s emergent 2022 care cascade with South African estimates. Without cascade-specific tuning, the model reproduced the observed AGYW shortfall relative to adults. Among HIV-positive AGYW, 73% were diagnosed, 66% were on ART, and 62% were virally suppressed, compared with 89%, 81%, and 78%, respectively, among all adults aged 15–49 years. These values closely matched the empirical pattern in which young women lag the adult cascade, with approximately 74% diagnosed and 68% suppressed among young women compared with approximately 90% diagnosed and 77% suppressed overall. </w:t>
      </w:r>
    </w:p>
    <w:p w14:paraId="2F460C26" w14:textId="04187EE3" w:rsidR="00ED17E4" w:rsidRPr="00ED17E4" w:rsidRDefault="00000000" w:rsidP="00686D04">
      <w:pPr>
        <w:pStyle w:val="Heading2"/>
        <w:spacing w:line="240" w:lineRule="auto"/>
        <w:rPr>
          <w:rFonts w:ascii="Times New Roman" w:hAnsi="Times New Roman" w:cs="Times New Roman"/>
          <w:i/>
          <w:iCs/>
          <w:color w:val="000000" w:themeColor="text1"/>
          <w:sz w:val="24"/>
          <w:szCs w:val="24"/>
        </w:rPr>
      </w:pPr>
      <w:r w:rsidRPr="0071347A">
        <w:rPr>
          <w:rFonts w:ascii="Times New Roman" w:hAnsi="Times New Roman" w:cs="Times New Roman"/>
          <w:i/>
          <w:iCs/>
          <w:color w:val="000000" w:themeColor="text1"/>
          <w:sz w:val="24"/>
          <w:szCs w:val="24"/>
        </w:rPr>
        <w:t>Projected impact of the Aimee chatbot, 2025–2035</w:t>
      </w:r>
    </w:p>
    <w:p w14:paraId="7BFDDA7C" w14:textId="53B124EA" w:rsidR="00ED17E4" w:rsidRDefault="00ED17E4" w:rsidP="00686D04">
      <w:pPr>
        <w:spacing w:after="0" w:line="240" w:lineRule="auto"/>
        <w:jc w:val="both"/>
        <w:rPr>
          <w:rFonts w:ascii="Times New Roman" w:hAnsi="Times New Roman" w:cs="Times New Roman"/>
          <w:color w:val="000000" w:themeColor="text1"/>
          <w:sz w:val="24"/>
          <w:szCs w:val="24"/>
        </w:rPr>
      </w:pPr>
      <w:r w:rsidRPr="00ED17E4">
        <w:rPr>
          <w:rFonts w:ascii="Times New Roman" w:hAnsi="Times New Roman" w:cs="Times New Roman"/>
          <w:color w:val="000000" w:themeColor="text1"/>
          <w:sz w:val="24"/>
          <w:szCs w:val="24"/>
        </w:rPr>
        <w:t>In the no-chatbot counterfactual, the model projected approximately 733,000 new HIV infections among AGYW nationally over 2025–2035 (median; interquartile range 696,000–762,000). This baseline incorporated realistic oral-</w:t>
      </w:r>
      <w:proofErr w:type="spellStart"/>
      <w:r w:rsidRPr="00ED17E4">
        <w:rPr>
          <w:rFonts w:ascii="Times New Roman" w:hAnsi="Times New Roman" w:cs="Times New Roman"/>
          <w:color w:val="000000" w:themeColor="text1"/>
          <w:sz w:val="24"/>
          <w:szCs w:val="24"/>
        </w:rPr>
        <w:t>PrEP</w:t>
      </w:r>
      <w:proofErr w:type="spellEnd"/>
      <w:r w:rsidRPr="00ED17E4">
        <w:rPr>
          <w:rFonts w:ascii="Times New Roman" w:hAnsi="Times New Roman" w:cs="Times New Roman"/>
          <w:color w:val="000000" w:themeColor="text1"/>
          <w:sz w:val="24"/>
          <w:szCs w:val="24"/>
        </w:rPr>
        <w:t xml:space="preserve"> discontinuation, with a median duration of approximately six months, so baseline </w:t>
      </w:r>
      <w:proofErr w:type="spellStart"/>
      <w:r w:rsidRPr="00ED17E4">
        <w:rPr>
          <w:rFonts w:ascii="Times New Roman" w:hAnsi="Times New Roman" w:cs="Times New Roman"/>
          <w:color w:val="000000" w:themeColor="text1"/>
          <w:sz w:val="24"/>
          <w:szCs w:val="24"/>
        </w:rPr>
        <w:t>PrEP</w:t>
      </w:r>
      <w:proofErr w:type="spellEnd"/>
      <w:r w:rsidRPr="00ED17E4">
        <w:rPr>
          <w:rFonts w:ascii="Times New Roman" w:hAnsi="Times New Roman" w:cs="Times New Roman"/>
          <w:color w:val="000000" w:themeColor="text1"/>
          <w:sz w:val="24"/>
          <w:szCs w:val="24"/>
        </w:rPr>
        <w:t xml:space="preserve"> coverage remained low, at approximately 3%, with rapid turnover. Introducing the chatbot in 2025 reduced this </w:t>
      </w:r>
      <w:r w:rsidRPr="00ED17E4">
        <w:rPr>
          <w:rFonts w:ascii="Times New Roman" w:hAnsi="Times New Roman" w:cs="Times New Roman"/>
          <w:color w:val="000000" w:themeColor="text1"/>
          <w:sz w:val="24"/>
          <w:szCs w:val="24"/>
        </w:rPr>
        <w:lastRenderedPageBreak/>
        <w:t xml:space="preserve">burden across all intervention scenarios. Projected impact generally increased with reach and with the assumed causal fraction of the observed engagement effect, although stochastic variation was evident at the lowest reach level (Figure 2; Table </w:t>
      </w:r>
      <w:r w:rsidR="0053251A">
        <w:rPr>
          <w:rFonts w:ascii="Times New Roman" w:hAnsi="Times New Roman" w:cs="Times New Roman"/>
          <w:color w:val="000000" w:themeColor="text1"/>
          <w:sz w:val="24"/>
          <w:szCs w:val="24"/>
        </w:rPr>
        <w:t>4</w:t>
      </w:r>
      <w:r w:rsidR="006E58AE">
        <w:rPr>
          <w:rFonts w:ascii="Times New Roman" w:hAnsi="Times New Roman" w:cs="Times New Roman"/>
          <w:color w:val="000000" w:themeColor="text1"/>
          <w:sz w:val="24"/>
          <w:szCs w:val="24"/>
        </w:rPr>
        <w:t>S</w:t>
      </w:r>
      <w:r w:rsidRPr="00ED17E4">
        <w:rPr>
          <w:rFonts w:ascii="Times New Roman" w:hAnsi="Times New Roman" w:cs="Times New Roman"/>
          <w:color w:val="000000" w:themeColor="text1"/>
          <w:sz w:val="24"/>
          <w:szCs w:val="24"/>
        </w:rPr>
        <w:t>).</w:t>
      </w:r>
    </w:p>
    <w:p w14:paraId="02AD700C" w14:textId="1E63B984" w:rsidR="00ED17E4" w:rsidRPr="00ED17E4" w:rsidRDefault="00ED17E4" w:rsidP="00686D04">
      <w:pPr>
        <w:spacing w:after="0" w:line="240" w:lineRule="auto"/>
        <w:jc w:val="both"/>
        <w:rPr>
          <w:rFonts w:ascii="Times New Roman" w:hAnsi="Times New Roman" w:cs="Times New Roman"/>
          <w:color w:val="000000" w:themeColor="text1"/>
          <w:sz w:val="24"/>
          <w:szCs w:val="24"/>
          <w:lang w:val="en-GB"/>
        </w:rPr>
      </w:pPr>
      <w:r w:rsidRPr="00ED17E4">
        <w:rPr>
          <w:rFonts w:ascii="Times New Roman" w:hAnsi="Times New Roman" w:cs="Times New Roman"/>
          <w:color w:val="000000" w:themeColor="text1"/>
          <w:sz w:val="24"/>
          <w:szCs w:val="24"/>
          <w:lang w:val="en-GB"/>
        </w:rPr>
        <w:t>At 50% reach, the chatbot averted an estimated 35,670 AGYW infections under the conservative assumption, corresponding to a 4.9% reduction compared with the no-chatbot baseline (95% CI 27,050–44,290). Under the central assumption, it averted 45,333 infections, a 6.2% reduction (95% CI 36,884–53,782). Under the optimistic assumption, it averted 75,191 infections, a 10.3% reduction (95% CI 65,724–84,659).</w:t>
      </w:r>
    </w:p>
    <w:p w14:paraId="79850070" w14:textId="311ED53E" w:rsidR="00ED17E4" w:rsidRPr="00ED17E4" w:rsidRDefault="00ED17E4" w:rsidP="00686D04">
      <w:pPr>
        <w:spacing w:after="0" w:line="240" w:lineRule="auto"/>
        <w:jc w:val="both"/>
        <w:rPr>
          <w:rFonts w:ascii="Times New Roman" w:hAnsi="Times New Roman" w:cs="Times New Roman"/>
          <w:color w:val="000000" w:themeColor="text1"/>
          <w:sz w:val="24"/>
          <w:szCs w:val="24"/>
          <w:lang w:val="en-GB"/>
        </w:rPr>
      </w:pPr>
      <w:r w:rsidRPr="00ED17E4">
        <w:rPr>
          <w:rFonts w:ascii="Times New Roman" w:hAnsi="Times New Roman" w:cs="Times New Roman"/>
          <w:color w:val="000000" w:themeColor="text1"/>
          <w:sz w:val="24"/>
          <w:szCs w:val="24"/>
          <w:lang w:val="en-GB"/>
        </w:rPr>
        <w:t>At 30% reach, reductions were 3.3%, 4.3%, and 6.3% under the conservative, central, and optimistic assumptions, respectively, with all confidence intervals excluding zero. At 10% reach, reductions ranged from 0.9% to 2.5%. Effects were statistically supported in eight of nine intervention scenarios; the only scenario with a 95% CI crossing zero was the 10%-reach central scenario, which averted 6,641 infections, or 0.9% of AGYW infections, but was not statistically significant (95% CI −1,559 to 14,840).</w:t>
      </w:r>
    </w:p>
    <w:p w14:paraId="4FBB6ADA" w14:textId="2D4CE1F3" w:rsidR="00740DA2" w:rsidRPr="00796CDC" w:rsidRDefault="00740DA2" w:rsidP="00686D04">
      <w:pPr>
        <w:spacing w:after="0" w:line="240" w:lineRule="auto"/>
        <w:jc w:val="center"/>
        <w:rPr>
          <w:rFonts w:ascii="Times New Roman" w:hAnsi="Times New Roman" w:cs="Times New Roman"/>
          <w:color w:val="000000" w:themeColor="text1"/>
          <w:sz w:val="24"/>
          <w:szCs w:val="24"/>
        </w:rPr>
      </w:pPr>
      <w:r w:rsidRPr="00796CDC">
        <w:rPr>
          <w:rFonts w:ascii="Times New Roman" w:hAnsi="Times New Roman" w:cs="Times New Roman"/>
          <w:noProof/>
          <w:color w:val="000000" w:themeColor="text1"/>
          <w:sz w:val="24"/>
          <w:szCs w:val="24"/>
        </w:rPr>
        <w:drawing>
          <wp:inline distT="0" distB="0" distL="0" distR="0" wp14:anchorId="4A02B2D6" wp14:editId="408588F9">
            <wp:extent cx="5084064" cy="2462066"/>
            <wp:effectExtent l="0" t="0" r="0" b="1905"/>
            <wp:docPr id="1005467477" name="Picture 1005467477" descr="A graph of green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67477" name="Picture 1005467477" descr="A graph of green and white bars&#10;&#10;AI-generated content may be incorrect."/>
                    <pic:cNvPicPr/>
                  </pic:nvPicPr>
                  <pic:blipFill rotWithShape="1">
                    <a:blip r:embed="rId13"/>
                    <a:srcRect t="12831"/>
                    <a:stretch>
                      <a:fillRect/>
                    </a:stretch>
                  </pic:blipFill>
                  <pic:spPr bwMode="auto">
                    <a:xfrm>
                      <a:off x="0" y="0"/>
                      <a:ext cx="5084698" cy="2462373"/>
                    </a:xfrm>
                    <a:prstGeom prst="rect">
                      <a:avLst/>
                    </a:prstGeom>
                    <a:ln>
                      <a:noFill/>
                    </a:ln>
                    <a:extLst>
                      <a:ext uri="{53640926-AAD7-44D8-BBD7-CCE9431645EC}">
                        <a14:shadowObscured xmlns:a14="http://schemas.microsoft.com/office/drawing/2010/main"/>
                      </a:ext>
                    </a:extLst>
                  </pic:spPr>
                </pic:pic>
              </a:graphicData>
            </a:graphic>
          </wp:inline>
        </w:drawing>
      </w:r>
    </w:p>
    <w:p w14:paraId="63FF08D5" w14:textId="6BBDC140" w:rsidR="00740DA2" w:rsidRPr="00796CDC" w:rsidRDefault="00740DA2" w:rsidP="00E71DE8">
      <w:pPr>
        <w:spacing w:after="0" w:line="240" w:lineRule="auto"/>
        <w:jc w:val="both"/>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 xml:space="preserve">Figure 2. AGYW HIV infections averted by the Aimee chatbot, 2025–2035, by reach and causal fraction. Bars are mean infections </w:t>
      </w:r>
      <w:proofErr w:type="gramStart"/>
      <w:r w:rsidRPr="00796CDC">
        <w:rPr>
          <w:rFonts w:ascii="Times New Roman" w:hAnsi="Times New Roman" w:cs="Times New Roman"/>
          <w:color w:val="000000" w:themeColor="text1"/>
          <w:sz w:val="24"/>
          <w:szCs w:val="24"/>
        </w:rPr>
        <w:t>averted</w:t>
      </w:r>
      <w:r w:rsidR="00E71DE8">
        <w:rPr>
          <w:rFonts w:ascii="Times New Roman" w:hAnsi="Times New Roman" w:cs="Times New Roman"/>
          <w:color w:val="000000" w:themeColor="text1"/>
          <w:sz w:val="24"/>
          <w:szCs w:val="24"/>
        </w:rPr>
        <w:t>,</w:t>
      </w:r>
      <w:proofErr w:type="gramEnd"/>
      <w:r w:rsidRPr="00796CDC">
        <w:rPr>
          <w:rFonts w:ascii="Times New Roman" w:hAnsi="Times New Roman" w:cs="Times New Roman"/>
          <w:color w:val="000000" w:themeColor="text1"/>
          <w:sz w:val="24"/>
          <w:szCs w:val="24"/>
        </w:rPr>
        <w:t xml:space="preserve"> whiskers are 95% confidence intervals from a paired t test. The </w:t>
      </w:r>
      <w:r w:rsidR="00E71DE8">
        <w:rPr>
          <w:rFonts w:ascii="Times New Roman" w:hAnsi="Times New Roman" w:cs="Times New Roman"/>
          <w:color w:val="000000" w:themeColor="text1"/>
          <w:sz w:val="24"/>
          <w:szCs w:val="24"/>
        </w:rPr>
        <w:t xml:space="preserve">SA-AGYW model </w:t>
      </w:r>
      <w:r w:rsidRPr="00796CDC">
        <w:rPr>
          <w:rFonts w:ascii="Times New Roman" w:hAnsi="Times New Roman" w:cs="Times New Roman"/>
          <w:color w:val="000000" w:themeColor="text1"/>
          <w:sz w:val="24"/>
          <w:szCs w:val="24"/>
        </w:rPr>
        <w:t xml:space="preserve">baseline projected </w:t>
      </w:r>
      <w:r w:rsidR="00ED17E4">
        <w:rPr>
          <w:rFonts w:ascii="Times New Roman" w:hAnsi="Times New Roman" w:cs="Times New Roman"/>
          <w:color w:val="000000" w:themeColor="text1"/>
          <w:sz w:val="24"/>
          <w:szCs w:val="24"/>
        </w:rPr>
        <w:t xml:space="preserve">approximately </w:t>
      </w:r>
      <w:r w:rsidRPr="00796CDC">
        <w:rPr>
          <w:rFonts w:ascii="Times New Roman" w:hAnsi="Times New Roman" w:cs="Times New Roman"/>
          <w:color w:val="000000" w:themeColor="text1"/>
          <w:sz w:val="24"/>
          <w:szCs w:val="24"/>
        </w:rPr>
        <w:t>733,000 AGYW infections over the decade.</w:t>
      </w:r>
    </w:p>
    <w:p w14:paraId="1E89C5CE" w14:textId="77777777" w:rsidR="00740DA2" w:rsidRDefault="00740DA2" w:rsidP="00686D04">
      <w:pPr>
        <w:spacing w:after="0" w:line="240" w:lineRule="auto"/>
        <w:jc w:val="both"/>
        <w:rPr>
          <w:rFonts w:ascii="Times New Roman" w:hAnsi="Times New Roman" w:cs="Times New Roman"/>
          <w:color w:val="000000" w:themeColor="text1"/>
          <w:sz w:val="24"/>
          <w:szCs w:val="24"/>
        </w:rPr>
      </w:pPr>
    </w:p>
    <w:p w14:paraId="608B3F26" w14:textId="77777777" w:rsidR="00ED17E4" w:rsidRPr="00ED17E4" w:rsidRDefault="00ED17E4" w:rsidP="00686D04">
      <w:pPr>
        <w:pStyle w:val="Heading3"/>
        <w:spacing w:line="240" w:lineRule="auto"/>
        <w:rPr>
          <w:rFonts w:ascii="Times New Roman" w:hAnsi="Times New Roman" w:cs="Times New Roman"/>
          <w:i/>
          <w:iCs/>
          <w:color w:val="000000" w:themeColor="text1"/>
          <w:sz w:val="24"/>
          <w:szCs w:val="24"/>
        </w:rPr>
      </w:pPr>
      <w:r w:rsidRPr="00ED17E4">
        <w:rPr>
          <w:rFonts w:ascii="Times New Roman" w:hAnsi="Times New Roman" w:cs="Times New Roman"/>
          <w:i/>
          <w:iCs/>
          <w:color w:val="000000" w:themeColor="text1"/>
          <w:sz w:val="24"/>
          <w:szCs w:val="24"/>
        </w:rPr>
        <w:t>Projected infections averted by Aimee</w:t>
      </w:r>
    </w:p>
    <w:p w14:paraId="59027EFA" w14:textId="08AC0DB0" w:rsidR="00ED17E4" w:rsidRDefault="00ED17E4" w:rsidP="00686D04">
      <w:pPr>
        <w:pStyle w:val="NormalWeb"/>
        <w:spacing w:before="0" w:beforeAutospacing="0" w:after="0" w:afterAutospacing="0"/>
        <w:jc w:val="both"/>
      </w:pPr>
      <w:r>
        <w:t>Across intervention scenarios, projected impact increased with both AGYW reach and the assumed causal fraction of the observed Clover engagement effect. At 50% reach, Aimee averted an estimated 35,670 AGYW infections under the conservative assumption, corresponding to a 4.9% reduction compared with the no-chatbot baseline (95% CI 27,050–44,290). Under the central assumption, Aimee averted 45,333 infections, a 6.2% reduction (95% CI 36,884–53,782). Under the optimistic assumption, Aimee averted 75,191 infections, a 10.3% reduction (95% CI 65,724–84,659).</w:t>
      </w:r>
    </w:p>
    <w:p w14:paraId="4FCE256B" w14:textId="77777777" w:rsidR="00ED17E4" w:rsidRDefault="00ED17E4" w:rsidP="00686D04">
      <w:pPr>
        <w:pStyle w:val="NormalWeb"/>
        <w:spacing w:after="0" w:afterAutospacing="0"/>
        <w:jc w:val="both"/>
      </w:pPr>
      <w:r>
        <w:t xml:space="preserve">At 30% reach, projected reductions were smaller but remained statistically supported, with infections reduced by 3.3%, 4.3%, and 6.3% under the conservative, central, and optimistic assumptions, respectively. At 10% reach, reductions ranged from approximately 1.2% to 2.5%. Overall, 95% confidence intervals excluded zero in eight of the nine intervention </w:t>
      </w:r>
      <w:r>
        <w:lastRenderedPageBreak/>
        <w:t xml:space="preserve">scenarios, with only the lowest-impact 10%-reach scenario not reaching statistical significance. The dose–response pattern across </w:t>
      </w:r>
      <w:proofErr w:type="gramStart"/>
      <w:r>
        <w:t>reach</w:t>
      </w:r>
      <w:proofErr w:type="gramEnd"/>
      <w:r>
        <w:t xml:space="preserve"> and causal-fraction assumptions is shown in Figure 3.</w:t>
      </w:r>
    </w:p>
    <w:p w14:paraId="61348901" w14:textId="77777777" w:rsidR="00ED17E4" w:rsidRPr="00796CDC" w:rsidRDefault="00ED17E4" w:rsidP="00686D04">
      <w:pPr>
        <w:spacing w:after="0" w:line="240" w:lineRule="auto"/>
        <w:jc w:val="center"/>
        <w:rPr>
          <w:rFonts w:ascii="Times New Roman" w:hAnsi="Times New Roman" w:cs="Times New Roman"/>
          <w:color w:val="000000" w:themeColor="text1"/>
          <w:sz w:val="24"/>
          <w:szCs w:val="24"/>
        </w:rPr>
      </w:pPr>
      <w:r w:rsidRPr="00796CDC">
        <w:rPr>
          <w:rFonts w:ascii="Times New Roman" w:hAnsi="Times New Roman" w:cs="Times New Roman"/>
          <w:noProof/>
          <w:color w:val="000000" w:themeColor="text1"/>
          <w:sz w:val="24"/>
          <w:szCs w:val="24"/>
        </w:rPr>
        <w:drawing>
          <wp:inline distT="0" distB="0" distL="0" distR="0" wp14:anchorId="2FAAE822" wp14:editId="49FADE22">
            <wp:extent cx="5943600" cy="1901952"/>
            <wp:effectExtent l="0" t="0" r="0" b="0"/>
            <wp:docPr id="999249194" name="Picture 999249194"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49194" name="Picture 999249194" descr="A graph of a number of green bars&#10;&#10;AI-generated content may be incorrect."/>
                    <pic:cNvPicPr/>
                  </pic:nvPicPr>
                  <pic:blipFill>
                    <a:blip r:embed="rId14"/>
                    <a:stretch>
                      <a:fillRect/>
                    </a:stretch>
                  </pic:blipFill>
                  <pic:spPr>
                    <a:xfrm>
                      <a:off x="0" y="0"/>
                      <a:ext cx="5943600" cy="1901952"/>
                    </a:xfrm>
                    <a:prstGeom prst="rect">
                      <a:avLst/>
                    </a:prstGeom>
                  </pic:spPr>
                </pic:pic>
              </a:graphicData>
            </a:graphic>
          </wp:inline>
        </w:drawing>
      </w:r>
    </w:p>
    <w:p w14:paraId="3778C85A" w14:textId="77777777" w:rsidR="00ED17E4" w:rsidRDefault="00ED17E4" w:rsidP="00E71DE8">
      <w:pPr>
        <w:spacing w:after="0" w:line="240" w:lineRule="auto"/>
        <w:jc w:val="both"/>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 xml:space="preserve">Figure 3. Dose–response and efficiency. (A) Percentage of AGYW infections averted across the reach × causal-fraction grid. (B) Dose–response: percentage averted rises with reach (bars, 95% CI). (C) Efficiency (AGYW reached per infection averted; lower is more efficient); triangular markers denote scenarios whose upper CI extends </w:t>
      </w:r>
      <w:proofErr w:type="gramStart"/>
      <w:r w:rsidRPr="00796CDC">
        <w:rPr>
          <w:rFonts w:ascii="Times New Roman" w:hAnsi="Times New Roman" w:cs="Times New Roman"/>
          <w:color w:val="000000" w:themeColor="text1"/>
          <w:sz w:val="24"/>
          <w:szCs w:val="24"/>
        </w:rPr>
        <w:t>off-scale</w:t>
      </w:r>
      <w:proofErr w:type="gramEnd"/>
      <w:r w:rsidRPr="00796CDC">
        <w:rPr>
          <w:rFonts w:ascii="Times New Roman" w:hAnsi="Times New Roman" w:cs="Times New Roman"/>
          <w:color w:val="000000" w:themeColor="text1"/>
          <w:sz w:val="24"/>
          <w:szCs w:val="24"/>
        </w:rPr>
        <w:t xml:space="preserve"> because the effect is near zero and efficiency is undefined.</w:t>
      </w:r>
    </w:p>
    <w:p w14:paraId="21F903B2" w14:textId="77777777" w:rsidR="006F3883" w:rsidRDefault="006F3883" w:rsidP="00686D04">
      <w:pPr>
        <w:spacing w:after="0" w:line="240" w:lineRule="auto"/>
        <w:rPr>
          <w:rFonts w:ascii="Times New Roman" w:hAnsi="Times New Roman" w:cs="Times New Roman"/>
          <w:color w:val="000000" w:themeColor="text1"/>
          <w:sz w:val="24"/>
          <w:szCs w:val="24"/>
        </w:rPr>
      </w:pPr>
    </w:p>
    <w:p w14:paraId="16B873EF" w14:textId="77777777" w:rsidR="006F3883" w:rsidRDefault="006F3883" w:rsidP="00686D04">
      <w:pPr>
        <w:spacing w:after="0" w:line="240" w:lineRule="auto"/>
        <w:rPr>
          <w:rFonts w:ascii="Times New Roman" w:hAnsi="Times New Roman" w:cs="Times New Roman"/>
          <w:color w:val="000000" w:themeColor="text1"/>
          <w:sz w:val="24"/>
          <w:szCs w:val="24"/>
        </w:rPr>
      </w:pPr>
    </w:p>
    <w:p w14:paraId="03B8703B" w14:textId="77777777" w:rsidR="006F3883" w:rsidRPr="00796CDC" w:rsidRDefault="006F3883" w:rsidP="00686D04">
      <w:pPr>
        <w:spacing w:after="0" w:line="240" w:lineRule="auto"/>
        <w:rPr>
          <w:rFonts w:ascii="Times New Roman" w:hAnsi="Times New Roman" w:cs="Times New Roman"/>
          <w:color w:val="000000" w:themeColor="text1"/>
          <w:sz w:val="24"/>
          <w:szCs w:val="24"/>
        </w:rPr>
      </w:pPr>
    </w:p>
    <w:p w14:paraId="7C354CDE" w14:textId="77777777" w:rsidR="006A62EA" w:rsidRPr="006A62EA" w:rsidRDefault="006A62EA" w:rsidP="00686D04">
      <w:pPr>
        <w:pStyle w:val="Heading3"/>
        <w:spacing w:line="240" w:lineRule="auto"/>
        <w:rPr>
          <w:rFonts w:ascii="Times New Roman" w:hAnsi="Times New Roman" w:cs="Times New Roman"/>
          <w:i/>
          <w:iCs/>
          <w:color w:val="000000" w:themeColor="text1"/>
          <w:sz w:val="24"/>
          <w:szCs w:val="24"/>
        </w:rPr>
      </w:pPr>
      <w:r w:rsidRPr="006A62EA">
        <w:rPr>
          <w:rFonts w:ascii="Times New Roman" w:hAnsi="Times New Roman" w:cs="Times New Roman"/>
          <w:i/>
          <w:iCs/>
          <w:color w:val="000000" w:themeColor="text1"/>
          <w:sz w:val="24"/>
          <w:szCs w:val="24"/>
        </w:rPr>
        <w:t>Mechanism of projected impact</w:t>
      </w:r>
    </w:p>
    <w:p w14:paraId="7CDA9036" w14:textId="77777777" w:rsidR="006A62EA" w:rsidRDefault="006A62EA" w:rsidP="00686D04">
      <w:pPr>
        <w:spacing w:after="0" w:line="240" w:lineRule="auto"/>
        <w:jc w:val="both"/>
        <w:rPr>
          <w:rFonts w:ascii="Times New Roman" w:hAnsi="Times New Roman" w:cs="Times New Roman"/>
          <w:color w:val="000000" w:themeColor="text1"/>
          <w:sz w:val="24"/>
          <w:szCs w:val="24"/>
          <w:lang w:val="en-GB"/>
        </w:rPr>
      </w:pPr>
      <w:r w:rsidRPr="006A62EA">
        <w:rPr>
          <w:rFonts w:ascii="Times New Roman" w:hAnsi="Times New Roman" w:cs="Times New Roman"/>
          <w:color w:val="000000" w:themeColor="text1"/>
          <w:sz w:val="24"/>
          <w:szCs w:val="24"/>
          <w:lang w:val="en-GB"/>
        </w:rPr>
        <w:t xml:space="preserve">The projected impact of Aimee appeared to be mediated primarily through increased </w:t>
      </w:r>
      <w:proofErr w:type="spellStart"/>
      <w:r w:rsidRPr="006A62EA">
        <w:rPr>
          <w:rFonts w:ascii="Times New Roman" w:hAnsi="Times New Roman" w:cs="Times New Roman"/>
          <w:color w:val="000000" w:themeColor="text1"/>
          <w:sz w:val="24"/>
          <w:szCs w:val="24"/>
          <w:lang w:val="en-GB"/>
        </w:rPr>
        <w:t>PrEP</w:t>
      </w:r>
      <w:proofErr w:type="spellEnd"/>
      <w:r w:rsidRPr="006A62EA">
        <w:rPr>
          <w:rFonts w:ascii="Times New Roman" w:hAnsi="Times New Roman" w:cs="Times New Roman"/>
          <w:color w:val="000000" w:themeColor="text1"/>
          <w:sz w:val="24"/>
          <w:szCs w:val="24"/>
          <w:lang w:val="en-GB"/>
        </w:rPr>
        <w:t xml:space="preserve"> uptake among reached AGYW. In the no-chatbot counterfactual, </w:t>
      </w:r>
      <w:proofErr w:type="spellStart"/>
      <w:r w:rsidRPr="006A62EA">
        <w:rPr>
          <w:rFonts w:ascii="Times New Roman" w:hAnsi="Times New Roman" w:cs="Times New Roman"/>
          <w:color w:val="000000" w:themeColor="text1"/>
          <w:sz w:val="24"/>
          <w:szCs w:val="24"/>
          <w:lang w:val="en-GB"/>
        </w:rPr>
        <w:t>PrEP</w:t>
      </w:r>
      <w:proofErr w:type="spellEnd"/>
      <w:r w:rsidRPr="006A62EA">
        <w:rPr>
          <w:rFonts w:ascii="Times New Roman" w:hAnsi="Times New Roman" w:cs="Times New Roman"/>
          <w:color w:val="000000" w:themeColor="text1"/>
          <w:sz w:val="24"/>
          <w:szCs w:val="24"/>
          <w:lang w:val="en-GB"/>
        </w:rPr>
        <w:t xml:space="preserve"> coverage among AGYW remained near the baseline level of approximately 3%, with rapid turnover reflecting realistic oral-</w:t>
      </w:r>
      <w:proofErr w:type="spellStart"/>
      <w:r w:rsidRPr="006A62EA">
        <w:rPr>
          <w:rFonts w:ascii="Times New Roman" w:hAnsi="Times New Roman" w:cs="Times New Roman"/>
          <w:color w:val="000000" w:themeColor="text1"/>
          <w:sz w:val="24"/>
          <w:szCs w:val="24"/>
          <w:lang w:val="en-GB"/>
        </w:rPr>
        <w:t>PrEP</w:t>
      </w:r>
      <w:proofErr w:type="spellEnd"/>
      <w:r w:rsidRPr="006A62EA">
        <w:rPr>
          <w:rFonts w:ascii="Times New Roman" w:hAnsi="Times New Roman" w:cs="Times New Roman"/>
          <w:color w:val="000000" w:themeColor="text1"/>
          <w:sz w:val="24"/>
          <w:szCs w:val="24"/>
          <w:lang w:val="en-GB"/>
        </w:rPr>
        <w:t xml:space="preserve"> discontinuation. After chatbot introduction in 2025, </w:t>
      </w:r>
      <w:proofErr w:type="spellStart"/>
      <w:r w:rsidRPr="006A62EA">
        <w:rPr>
          <w:rFonts w:ascii="Times New Roman" w:hAnsi="Times New Roman" w:cs="Times New Roman"/>
          <w:color w:val="000000" w:themeColor="text1"/>
          <w:sz w:val="24"/>
          <w:szCs w:val="24"/>
          <w:lang w:val="en-GB"/>
        </w:rPr>
        <w:t>PrEP</w:t>
      </w:r>
      <w:proofErr w:type="spellEnd"/>
      <w:r w:rsidRPr="006A62EA">
        <w:rPr>
          <w:rFonts w:ascii="Times New Roman" w:hAnsi="Times New Roman" w:cs="Times New Roman"/>
          <w:color w:val="000000" w:themeColor="text1"/>
          <w:sz w:val="24"/>
          <w:szCs w:val="24"/>
          <w:lang w:val="en-GB"/>
        </w:rPr>
        <w:t xml:space="preserve"> coverage increased, reaching approximately 8% at 30% reach, 11% at 50% reach under the central assumption, and 14% at 50% reach under the optimistic assumption by 2034.</w:t>
      </w:r>
    </w:p>
    <w:p w14:paraId="5BB5AC54" w14:textId="77777777" w:rsidR="006A62EA" w:rsidRPr="006A62EA" w:rsidRDefault="006A62EA" w:rsidP="00686D04">
      <w:pPr>
        <w:spacing w:after="0" w:line="240" w:lineRule="auto"/>
        <w:jc w:val="both"/>
        <w:rPr>
          <w:rFonts w:ascii="Times New Roman" w:hAnsi="Times New Roman" w:cs="Times New Roman"/>
          <w:color w:val="000000" w:themeColor="text1"/>
          <w:sz w:val="24"/>
          <w:szCs w:val="24"/>
          <w:lang w:val="en-GB"/>
        </w:rPr>
      </w:pPr>
    </w:p>
    <w:p w14:paraId="67DB627F" w14:textId="77777777" w:rsidR="006A62EA" w:rsidRPr="00E71DE8" w:rsidRDefault="006A62EA" w:rsidP="00E71DE8">
      <w:pPr>
        <w:spacing w:after="0" w:line="240" w:lineRule="auto"/>
        <w:jc w:val="both"/>
        <w:rPr>
          <w:rFonts w:ascii="Times New Roman" w:hAnsi="Times New Roman" w:cs="Times New Roman"/>
          <w:color w:val="000000" w:themeColor="text1"/>
          <w:sz w:val="24"/>
          <w:szCs w:val="24"/>
          <w:lang w:val="en-GB"/>
        </w:rPr>
      </w:pPr>
      <w:r w:rsidRPr="006A62EA">
        <w:rPr>
          <w:rFonts w:ascii="Times New Roman" w:hAnsi="Times New Roman" w:cs="Times New Roman"/>
          <w:color w:val="000000" w:themeColor="text1"/>
          <w:sz w:val="24"/>
          <w:szCs w:val="24"/>
          <w:lang w:val="en-GB"/>
        </w:rPr>
        <w:t xml:space="preserve">These gains remained constrained by poor </w:t>
      </w:r>
      <w:proofErr w:type="spellStart"/>
      <w:r w:rsidRPr="006A62EA">
        <w:rPr>
          <w:rFonts w:ascii="Times New Roman" w:hAnsi="Times New Roman" w:cs="Times New Roman"/>
          <w:color w:val="000000" w:themeColor="text1"/>
          <w:sz w:val="24"/>
          <w:szCs w:val="24"/>
          <w:lang w:val="en-GB"/>
        </w:rPr>
        <w:t>PrEP</w:t>
      </w:r>
      <w:proofErr w:type="spellEnd"/>
      <w:r w:rsidRPr="006A62EA">
        <w:rPr>
          <w:rFonts w:ascii="Times New Roman" w:hAnsi="Times New Roman" w:cs="Times New Roman"/>
          <w:color w:val="000000" w:themeColor="text1"/>
          <w:sz w:val="24"/>
          <w:szCs w:val="24"/>
          <w:lang w:val="en-GB"/>
        </w:rPr>
        <w:t xml:space="preserve"> persistence. Under realistic discontinuation assumptions, </w:t>
      </w:r>
      <w:proofErr w:type="spellStart"/>
      <w:r w:rsidRPr="006A62EA">
        <w:rPr>
          <w:rFonts w:ascii="Times New Roman" w:hAnsi="Times New Roman" w:cs="Times New Roman"/>
          <w:color w:val="000000" w:themeColor="text1"/>
          <w:sz w:val="24"/>
          <w:szCs w:val="24"/>
          <w:lang w:val="en-GB"/>
        </w:rPr>
        <w:t>PrEP</w:t>
      </w:r>
      <w:proofErr w:type="spellEnd"/>
      <w:r w:rsidRPr="006A62EA">
        <w:rPr>
          <w:rFonts w:ascii="Times New Roman" w:hAnsi="Times New Roman" w:cs="Times New Roman"/>
          <w:color w:val="000000" w:themeColor="text1"/>
          <w:sz w:val="24"/>
          <w:szCs w:val="24"/>
          <w:lang w:val="en-GB"/>
        </w:rPr>
        <w:t xml:space="preserve"> coverage reached only about half the level attainable under an optimistic long-retention scenario, because discontinuation continually eroded coverage and required repeated initiation or re-initiation to sustain population-level protection. Increases in HIV testing and diagnosis accompanied the </w:t>
      </w:r>
      <w:proofErr w:type="spellStart"/>
      <w:r w:rsidRPr="006A62EA">
        <w:rPr>
          <w:rFonts w:ascii="Times New Roman" w:hAnsi="Times New Roman" w:cs="Times New Roman"/>
          <w:color w:val="000000" w:themeColor="text1"/>
          <w:sz w:val="24"/>
          <w:szCs w:val="24"/>
          <w:lang w:val="en-GB"/>
        </w:rPr>
        <w:t>PrEP</w:t>
      </w:r>
      <w:proofErr w:type="spellEnd"/>
      <w:r w:rsidRPr="006A62EA">
        <w:rPr>
          <w:rFonts w:ascii="Times New Roman" w:hAnsi="Times New Roman" w:cs="Times New Roman"/>
          <w:color w:val="000000" w:themeColor="text1"/>
          <w:sz w:val="24"/>
          <w:szCs w:val="24"/>
          <w:lang w:val="en-GB"/>
        </w:rPr>
        <w:t xml:space="preserve"> gains, and AGYW incidence trajectories diverged from the no-chatbot baseline after 2025, with the largest reductions under the highest reach and causal-fraction assumptions (Figure 4).</w:t>
      </w:r>
    </w:p>
    <w:p w14:paraId="1DA31BF6" w14:textId="77777777" w:rsidR="006A62EA" w:rsidRPr="00796CDC" w:rsidRDefault="006A62EA" w:rsidP="00686D04">
      <w:pPr>
        <w:spacing w:after="0" w:line="240" w:lineRule="auto"/>
        <w:jc w:val="center"/>
        <w:rPr>
          <w:rFonts w:ascii="Times New Roman" w:hAnsi="Times New Roman" w:cs="Times New Roman"/>
          <w:color w:val="000000" w:themeColor="text1"/>
          <w:sz w:val="24"/>
          <w:szCs w:val="24"/>
        </w:rPr>
      </w:pPr>
      <w:r w:rsidRPr="00796CDC">
        <w:rPr>
          <w:rFonts w:ascii="Times New Roman" w:hAnsi="Times New Roman" w:cs="Times New Roman"/>
          <w:noProof/>
          <w:color w:val="000000" w:themeColor="text1"/>
          <w:sz w:val="24"/>
          <w:szCs w:val="24"/>
        </w:rPr>
        <w:lastRenderedPageBreak/>
        <w:drawing>
          <wp:inline distT="0" distB="0" distL="0" distR="0" wp14:anchorId="31255E3F" wp14:editId="1047FDC1">
            <wp:extent cx="5943600" cy="2122714"/>
            <wp:effectExtent l="0" t="0" r="0" b="0"/>
            <wp:docPr id="55646915" name="Picture 55646915"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915" name="Picture 55646915" descr="A close-up of a graph&#10;&#10;AI-generated content may be incorrect."/>
                    <pic:cNvPicPr/>
                  </pic:nvPicPr>
                  <pic:blipFill>
                    <a:blip r:embed="rId15"/>
                    <a:stretch>
                      <a:fillRect/>
                    </a:stretch>
                  </pic:blipFill>
                  <pic:spPr>
                    <a:xfrm>
                      <a:off x="0" y="0"/>
                      <a:ext cx="5943600" cy="2122714"/>
                    </a:xfrm>
                    <a:prstGeom prst="rect">
                      <a:avLst/>
                    </a:prstGeom>
                  </pic:spPr>
                </pic:pic>
              </a:graphicData>
            </a:graphic>
          </wp:inline>
        </w:drawing>
      </w:r>
    </w:p>
    <w:p w14:paraId="2E1CB045" w14:textId="01F63449" w:rsidR="006A62EA" w:rsidRDefault="006A62EA" w:rsidP="00686D04">
      <w:pPr>
        <w:spacing w:after="0" w:line="240" w:lineRule="auto"/>
        <w:jc w:val="both"/>
        <w:rPr>
          <w:rFonts w:ascii="Times New Roman" w:hAnsi="Times New Roman" w:cs="Times New Roman"/>
        </w:rPr>
      </w:pPr>
      <w:r w:rsidRPr="00516BC3">
        <w:rPr>
          <w:rStyle w:val="Strong"/>
          <w:rFonts w:ascii="Times New Roman" w:hAnsi="Times New Roman" w:cs="Times New Roman"/>
        </w:rPr>
        <w:t>Figure 4. Mechanism of projected impact.</w:t>
      </w:r>
      <w:r w:rsidRPr="00516BC3">
        <w:rPr>
          <w:rFonts w:ascii="Times New Roman" w:hAnsi="Times New Roman" w:cs="Times New Roman"/>
        </w:rPr>
        <w:t xml:space="preserve"> </w:t>
      </w:r>
      <w:r w:rsidRPr="00516BC3">
        <w:rPr>
          <w:rFonts w:ascii="Times New Roman" w:hAnsi="Times New Roman" w:cs="Times New Roman"/>
        </w:rPr>
        <w:t xml:space="preserve">(A) Projected AGYW HIV incidence trajectories under the no-chatbot baseline and chatbot intervention scenarios, showing divergence after Aimee introduction in 2025. (B) Projected AGYW </w:t>
      </w:r>
      <w:proofErr w:type="spellStart"/>
      <w:r w:rsidRPr="00516BC3">
        <w:rPr>
          <w:rFonts w:ascii="Times New Roman" w:hAnsi="Times New Roman" w:cs="Times New Roman"/>
        </w:rPr>
        <w:t>PrEP</w:t>
      </w:r>
      <w:proofErr w:type="spellEnd"/>
      <w:r w:rsidRPr="00516BC3">
        <w:rPr>
          <w:rFonts w:ascii="Times New Roman" w:hAnsi="Times New Roman" w:cs="Times New Roman"/>
        </w:rPr>
        <w:t xml:space="preserve"> coverage, which increased from approximately 3% in the no-chatbot baseline to approximately 8–14% under chatbot scenarios, depending on reach and causal-fraction assumptions. Lines show median trajectories across stochastic simulation replicates; shaded bands show 95% simulation intervals.</w:t>
      </w:r>
    </w:p>
    <w:p w14:paraId="546E964C" w14:textId="77777777" w:rsidR="00516BC3" w:rsidRDefault="00516BC3" w:rsidP="00686D04">
      <w:pPr>
        <w:spacing w:after="0" w:line="240" w:lineRule="auto"/>
        <w:jc w:val="both"/>
        <w:rPr>
          <w:rFonts w:ascii="Times New Roman" w:hAnsi="Times New Roman" w:cs="Times New Roman"/>
        </w:rPr>
      </w:pPr>
    </w:p>
    <w:p w14:paraId="2CCE6649" w14:textId="77777777" w:rsidR="00516BC3" w:rsidRPr="00516BC3" w:rsidRDefault="00516BC3" w:rsidP="00686D04">
      <w:pPr>
        <w:spacing w:before="100" w:beforeAutospacing="1" w:after="0" w:line="240" w:lineRule="auto"/>
        <w:outlineLvl w:val="2"/>
        <w:rPr>
          <w:rFonts w:ascii="Times New Roman" w:eastAsia="Times New Roman" w:hAnsi="Times New Roman" w:cs="Times New Roman"/>
          <w:b/>
          <w:bCs/>
          <w:sz w:val="27"/>
          <w:szCs w:val="27"/>
          <w:lang w:val="en-GB" w:eastAsia="en-GB"/>
        </w:rPr>
      </w:pPr>
      <w:proofErr w:type="spellStart"/>
      <w:r w:rsidRPr="00516BC3">
        <w:rPr>
          <w:rFonts w:ascii="Times New Roman" w:eastAsia="Times New Roman" w:hAnsi="Times New Roman" w:cs="Times New Roman"/>
          <w:b/>
          <w:bCs/>
          <w:sz w:val="27"/>
          <w:szCs w:val="27"/>
          <w:lang w:val="en-GB" w:eastAsia="en-GB"/>
        </w:rPr>
        <w:t>PrEP</w:t>
      </w:r>
      <w:proofErr w:type="spellEnd"/>
      <w:r w:rsidRPr="00516BC3">
        <w:rPr>
          <w:rFonts w:ascii="Times New Roman" w:eastAsia="Times New Roman" w:hAnsi="Times New Roman" w:cs="Times New Roman"/>
          <w:b/>
          <w:bCs/>
          <w:sz w:val="27"/>
          <w:szCs w:val="27"/>
          <w:lang w:val="en-GB" w:eastAsia="en-GB"/>
        </w:rPr>
        <w:t xml:space="preserve"> delivery strategy: demand generation versus persistence support</w:t>
      </w:r>
    </w:p>
    <w:p w14:paraId="0536CDCC" w14:textId="5E4BFB9B" w:rsidR="00516BC3" w:rsidRPr="00516BC3" w:rsidRDefault="00516BC3" w:rsidP="00686D04">
      <w:pPr>
        <w:spacing w:before="100" w:beforeAutospacing="1" w:after="0" w:line="240" w:lineRule="auto"/>
        <w:jc w:val="both"/>
        <w:rPr>
          <w:rFonts w:ascii="Times New Roman" w:eastAsia="Times New Roman" w:hAnsi="Times New Roman" w:cs="Times New Roman"/>
          <w:sz w:val="24"/>
          <w:szCs w:val="24"/>
          <w:lang w:val="en-GB" w:eastAsia="en-GB"/>
        </w:rPr>
      </w:pPr>
      <w:r w:rsidRPr="00516BC3">
        <w:rPr>
          <w:rFonts w:ascii="Times New Roman" w:eastAsia="Times New Roman" w:hAnsi="Times New Roman" w:cs="Times New Roman"/>
          <w:sz w:val="24"/>
          <w:szCs w:val="24"/>
          <w:lang w:val="en-GB" w:eastAsia="en-GB"/>
        </w:rPr>
        <w:t xml:space="preserve">A secondary analysis decomposed the 50%-reach </w:t>
      </w:r>
      <w:proofErr w:type="spellStart"/>
      <w:r w:rsidRPr="00516BC3">
        <w:rPr>
          <w:rFonts w:ascii="Times New Roman" w:eastAsia="Times New Roman" w:hAnsi="Times New Roman" w:cs="Times New Roman"/>
          <w:sz w:val="24"/>
          <w:szCs w:val="24"/>
          <w:lang w:val="en-GB" w:eastAsia="en-GB"/>
        </w:rPr>
        <w:t>PrEP</w:t>
      </w:r>
      <w:proofErr w:type="spellEnd"/>
      <w:r w:rsidRPr="00516BC3">
        <w:rPr>
          <w:rFonts w:ascii="Times New Roman" w:eastAsia="Times New Roman" w:hAnsi="Times New Roman" w:cs="Times New Roman"/>
          <w:sz w:val="24"/>
          <w:szCs w:val="24"/>
          <w:lang w:val="en-GB" w:eastAsia="en-GB"/>
        </w:rPr>
        <w:t xml:space="preserve"> effect into demand generation, persistence support, and their combination (Figure 5; Table </w:t>
      </w:r>
      <w:r w:rsidR="008B43F6">
        <w:rPr>
          <w:rFonts w:ascii="Times New Roman" w:eastAsia="Times New Roman" w:hAnsi="Times New Roman" w:cs="Times New Roman"/>
          <w:sz w:val="24"/>
          <w:szCs w:val="24"/>
          <w:lang w:val="en-GB" w:eastAsia="en-GB"/>
        </w:rPr>
        <w:t>5</w:t>
      </w:r>
      <w:r w:rsidR="006E58AE">
        <w:rPr>
          <w:rFonts w:ascii="Times New Roman" w:eastAsia="Times New Roman" w:hAnsi="Times New Roman" w:cs="Times New Roman"/>
          <w:sz w:val="24"/>
          <w:szCs w:val="24"/>
          <w:lang w:val="en-GB" w:eastAsia="en-GB"/>
        </w:rPr>
        <w:t>S</w:t>
      </w:r>
      <w:r w:rsidRPr="00516BC3">
        <w:rPr>
          <w:rFonts w:ascii="Times New Roman" w:eastAsia="Times New Roman" w:hAnsi="Times New Roman" w:cs="Times New Roman"/>
          <w:sz w:val="24"/>
          <w:szCs w:val="24"/>
          <w:lang w:val="en-GB" w:eastAsia="en-GB"/>
        </w:rPr>
        <w:t xml:space="preserve">). Demand generation alone, corresponding to the </w:t>
      </w:r>
      <w:proofErr w:type="spellStart"/>
      <w:r w:rsidRPr="00516BC3">
        <w:rPr>
          <w:rFonts w:ascii="Times New Roman" w:eastAsia="Times New Roman" w:hAnsi="Times New Roman" w:cs="Times New Roman"/>
          <w:sz w:val="24"/>
          <w:szCs w:val="24"/>
          <w:lang w:val="en-GB" w:eastAsia="en-GB"/>
        </w:rPr>
        <w:t>PrEP</w:t>
      </w:r>
      <w:proofErr w:type="spellEnd"/>
      <w:r w:rsidRPr="00516BC3">
        <w:rPr>
          <w:rFonts w:ascii="Times New Roman" w:eastAsia="Times New Roman" w:hAnsi="Times New Roman" w:cs="Times New Roman"/>
          <w:sz w:val="24"/>
          <w:szCs w:val="24"/>
          <w:lang w:val="en-GB" w:eastAsia="en-GB"/>
        </w:rPr>
        <w:t xml:space="preserve"> mechanism used in the primary analysis, averted 43,192 AGYW infections, or 5.8% of infections, over 2025–2035 (95% CI 25,852–60,531). This strategy increased AGYW </w:t>
      </w:r>
      <w:proofErr w:type="spellStart"/>
      <w:r w:rsidRPr="00516BC3">
        <w:rPr>
          <w:rFonts w:ascii="Times New Roman" w:eastAsia="Times New Roman" w:hAnsi="Times New Roman" w:cs="Times New Roman"/>
          <w:sz w:val="24"/>
          <w:szCs w:val="24"/>
          <w:lang w:val="en-GB" w:eastAsia="en-GB"/>
        </w:rPr>
        <w:t>PrEP</w:t>
      </w:r>
      <w:proofErr w:type="spellEnd"/>
      <w:r w:rsidRPr="00516BC3">
        <w:rPr>
          <w:rFonts w:ascii="Times New Roman" w:eastAsia="Times New Roman" w:hAnsi="Times New Roman" w:cs="Times New Roman"/>
          <w:sz w:val="24"/>
          <w:szCs w:val="24"/>
          <w:lang w:val="en-GB" w:eastAsia="en-GB"/>
        </w:rPr>
        <w:t xml:space="preserve"> coverage from approximately 3% to 11%, but coverage plateaued because newly initiated users continued to discontinue oral </w:t>
      </w:r>
      <w:proofErr w:type="spellStart"/>
      <w:r w:rsidRPr="00516BC3">
        <w:rPr>
          <w:rFonts w:ascii="Times New Roman" w:eastAsia="Times New Roman" w:hAnsi="Times New Roman" w:cs="Times New Roman"/>
          <w:sz w:val="24"/>
          <w:szCs w:val="24"/>
          <w:lang w:val="en-GB" w:eastAsia="en-GB"/>
        </w:rPr>
        <w:t>PrEP.</w:t>
      </w:r>
      <w:proofErr w:type="spellEnd"/>
    </w:p>
    <w:p w14:paraId="2281C555" w14:textId="77777777" w:rsidR="00516BC3" w:rsidRPr="00516BC3" w:rsidRDefault="00516BC3" w:rsidP="00686D04">
      <w:pPr>
        <w:spacing w:before="100" w:beforeAutospacing="1" w:after="0" w:line="240" w:lineRule="auto"/>
        <w:jc w:val="both"/>
        <w:rPr>
          <w:rFonts w:ascii="Times New Roman" w:eastAsia="Times New Roman" w:hAnsi="Times New Roman" w:cs="Times New Roman"/>
          <w:sz w:val="24"/>
          <w:szCs w:val="24"/>
          <w:lang w:val="en-GB" w:eastAsia="en-GB"/>
        </w:rPr>
      </w:pPr>
      <w:r w:rsidRPr="00516BC3">
        <w:rPr>
          <w:rFonts w:ascii="Times New Roman" w:eastAsia="Times New Roman" w:hAnsi="Times New Roman" w:cs="Times New Roman"/>
          <w:sz w:val="24"/>
          <w:szCs w:val="24"/>
          <w:lang w:val="en-GB" w:eastAsia="en-GB"/>
        </w:rPr>
        <w:t xml:space="preserve">Persistence support alone, which did not recruit new </w:t>
      </w:r>
      <w:proofErr w:type="spellStart"/>
      <w:r w:rsidRPr="00516BC3">
        <w:rPr>
          <w:rFonts w:ascii="Times New Roman" w:eastAsia="Times New Roman" w:hAnsi="Times New Roman" w:cs="Times New Roman"/>
          <w:sz w:val="24"/>
          <w:szCs w:val="24"/>
          <w:lang w:val="en-GB" w:eastAsia="en-GB"/>
        </w:rPr>
        <w:t>PrEP</w:t>
      </w:r>
      <w:proofErr w:type="spellEnd"/>
      <w:r w:rsidRPr="00516BC3">
        <w:rPr>
          <w:rFonts w:ascii="Times New Roman" w:eastAsia="Times New Roman" w:hAnsi="Times New Roman" w:cs="Times New Roman"/>
          <w:sz w:val="24"/>
          <w:szCs w:val="24"/>
          <w:lang w:val="en-GB" w:eastAsia="en-GB"/>
        </w:rPr>
        <w:t xml:space="preserve"> users, produced smaller but increasingly meaningful effects as discontinuation declined. Reducing the weekly </w:t>
      </w:r>
      <w:proofErr w:type="spellStart"/>
      <w:r w:rsidRPr="00516BC3">
        <w:rPr>
          <w:rFonts w:ascii="Times New Roman" w:eastAsia="Times New Roman" w:hAnsi="Times New Roman" w:cs="Times New Roman"/>
          <w:sz w:val="24"/>
          <w:szCs w:val="24"/>
          <w:lang w:val="en-GB" w:eastAsia="en-GB"/>
        </w:rPr>
        <w:t>PrEP</w:t>
      </w:r>
      <w:proofErr w:type="spellEnd"/>
      <w:r w:rsidRPr="00516BC3">
        <w:rPr>
          <w:rFonts w:ascii="Times New Roman" w:eastAsia="Times New Roman" w:hAnsi="Times New Roman" w:cs="Times New Roman"/>
          <w:sz w:val="24"/>
          <w:szCs w:val="24"/>
          <w:lang w:val="en-GB" w:eastAsia="en-GB"/>
        </w:rPr>
        <w:t xml:space="preserve">-discontinuation rate by 20%, 40%, and 60% averted 1.0%, 3.7%, and 5.1% of infections, respectively; the 40% and 60% reductions were statistically supported. Despite only modest changes in overall </w:t>
      </w:r>
      <w:proofErr w:type="spellStart"/>
      <w:r w:rsidRPr="00516BC3">
        <w:rPr>
          <w:rFonts w:ascii="Times New Roman" w:eastAsia="Times New Roman" w:hAnsi="Times New Roman" w:cs="Times New Roman"/>
          <w:sz w:val="24"/>
          <w:szCs w:val="24"/>
          <w:lang w:val="en-GB" w:eastAsia="en-GB"/>
        </w:rPr>
        <w:t>PrEP</w:t>
      </w:r>
      <w:proofErr w:type="spellEnd"/>
      <w:r w:rsidRPr="00516BC3">
        <w:rPr>
          <w:rFonts w:ascii="Times New Roman" w:eastAsia="Times New Roman" w:hAnsi="Times New Roman" w:cs="Times New Roman"/>
          <w:sz w:val="24"/>
          <w:szCs w:val="24"/>
          <w:lang w:val="en-GB" w:eastAsia="en-GB"/>
        </w:rPr>
        <w:t xml:space="preserve"> coverage, which remained at or below approximately 3.2%, persistence support approached the impact of demand generation under the strongest discontinuation-reduction assumption. This reflected the concentration of protection among women already clinically eligible for and receiving </w:t>
      </w:r>
      <w:proofErr w:type="spellStart"/>
      <w:r w:rsidRPr="00516BC3">
        <w:rPr>
          <w:rFonts w:ascii="Times New Roman" w:eastAsia="Times New Roman" w:hAnsi="Times New Roman" w:cs="Times New Roman"/>
          <w:sz w:val="24"/>
          <w:szCs w:val="24"/>
          <w:lang w:val="en-GB" w:eastAsia="en-GB"/>
        </w:rPr>
        <w:t>PrEP</w:t>
      </w:r>
      <w:proofErr w:type="spellEnd"/>
      <w:r w:rsidRPr="00516BC3">
        <w:rPr>
          <w:rFonts w:ascii="Times New Roman" w:eastAsia="Times New Roman" w:hAnsi="Times New Roman" w:cs="Times New Roman"/>
          <w:sz w:val="24"/>
          <w:szCs w:val="24"/>
          <w:lang w:val="en-GB" w:eastAsia="en-GB"/>
        </w:rPr>
        <w:t>, extending protected person-time among a relatively higher-risk subgroup.</w:t>
      </w:r>
    </w:p>
    <w:p w14:paraId="64A326EC" w14:textId="54D2D767" w:rsidR="00516BC3" w:rsidRPr="006A62EA" w:rsidRDefault="00516BC3" w:rsidP="00686D04">
      <w:pPr>
        <w:spacing w:before="100" w:beforeAutospacing="1" w:after="0" w:line="240" w:lineRule="auto"/>
        <w:jc w:val="both"/>
        <w:rPr>
          <w:rFonts w:ascii="Times New Roman" w:eastAsia="Times New Roman" w:hAnsi="Times New Roman" w:cs="Times New Roman"/>
          <w:sz w:val="24"/>
          <w:szCs w:val="24"/>
          <w:lang w:val="en-GB" w:eastAsia="en-GB"/>
        </w:rPr>
      </w:pPr>
      <w:r w:rsidRPr="00516BC3">
        <w:rPr>
          <w:rFonts w:ascii="Times New Roman" w:eastAsia="Times New Roman" w:hAnsi="Times New Roman" w:cs="Times New Roman"/>
          <w:sz w:val="24"/>
          <w:szCs w:val="24"/>
          <w:lang w:val="en-GB" w:eastAsia="en-GB"/>
        </w:rPr>
        <w:t xml:space="preserve">Combining demand generation with persistence support produced larger effects than either strategy alone. At a 40% reduction in discontinuation, the combined strategy averted 86,480 AGYW infections, or 11.6% of infections (95% CI 73,222–99,738), exceeding the 9.4% expected from adding the separate demand-generation and persistence-support effects. This corresponded to an additional 2.1 percentage points of infections averted, suggesting complementarity between the two levers. At a 60% reduction in discontinuation, the combined strategy averted 14.5% of infections, with </w:t>
      </w:r>
      <w:proofErr w:type="spellStart"/>
      <w:r w:rsidRPr="00516BC3">
        <w:rPr>
          <w:rFonts w:ascii="Times New Roman" w:eastAsia="Times New Roman" w:hAnsi="Times New Roman" w:cs="Times New Roman"/>
          <w:sz w:val="24"/>
          <w:szCs w:val="24"/>
          <w:lang w:val="en-GB" w:eastAsia="en-GB"/>
        </w:rPr>
        <w:t>PrEP</w:t>
      </w:r>
      <w:proofErr w:type="spellEnd"/>
      <w:r w:rsidRPr="00516BC3">
        <w:rPr>
          <w:rFonts w:ascii="Times New Roman" w:eastAsia="Times New Roman" w:hAnsi="Times New Roman" w:cs="Times New Roman"/>
          <w:sz w:val="24"/>
          <w:szCs w:val="24"/>
          <w:lang w:val="en-GB" w:eastAsia="en-GB"/>
        </w:rPr>
        <w:t xml:space="preserve"> coverage rising to approximately 15.5%. These results indicate that recruiting more AGYW onto </w:t>
      </w:r>
      <w:proofErr w:type="spellStart"/>
      <w:r w:rsidRPr="00516BC3">
        <w:rPr>
          <w:rFonts w:ascii="Times New Roman" w:eastAsia="Times New Roman" w:hAnsi="Times New Roman" w:cs="Times New Roman"/>
          <w:sz w:val="24"/>
          <w:szCs w:val="24"/>
          <w:lang w:val="en-GB" w:eastAsia="en-GB"/>
        </w:rPr>
        <w:lastRenderedPageBreak/>
        <w:t>PrEP</w:t>
      </w:r>
      <w:proofErr w:type="spellEnd"/>
      <w:r w:rsidRPr="00516BC3">
        <w:rPr>
          <w:rFonts w:ascii="Times New Roman" w:eastAsia="Times New Roman" w:hAnsi="Times New Roman" w:cs="Times New Roman"/>
          <w:sz w:val="24"/>
          <w:szCs w:val="24"/>
          <w:lang w:val="en-GB" w:eastAsia="en-GB"/>
        </w:rPr>
        <w:t xml:space="preserve"> and supporting them to remain on </w:t>
      </w:r>
      <w:proofErr w:type="spellStart"/>
      <w:r w:rsidRPr="00516BC3">
        <w:rPr>
          <w:rFonts w:ascii="Times New Roman" w:eastAsia="Times New Roman" w:hAnsi="Times New Roman" w:cs="Times New Roman"/>
          <w:sz w:val="24"/>
          <w:szCs w:val="24"/>
          <w:lang w:val="en-GB" w:eastAsia="en-GB"/>
        </w:rPr>
        <w:t>PrEP</w:t>
      </w:r>
      <w:proofErr w:type="spellEnd"/>
      <w:r w:rsidRPr="00516BC3">
        <w:rPr>
          <w:rFonts w:ascii="Times New Roman" w:eastAsia="Times New Roman" w:hAnsi="Times New Roman" w:cs="Times New Roman"/>
          <w:sz w:val="24"/>
          <w:szCs w:val="24"/>
          <w:lang w:val="en-GB" w:eastAsia="en-GB"/>
        </w:rPr>
        <w:t xml:space="preserve"> can compound impact by increasing protected person-time.</w:t>
      </w:r>
    </w:p>
    <w:p w14:paraId="64BCFCD4" w14:textId="77777777" w:rsidR="005458B4" w:rsidRPr="00796CDC" w:rsidRDefault="005458B4" w:rsidP="00686D04">
      <w:pPr>
        <w:spacing w:after="0" w:line="240" w:lineRule="auto"/>
        <w:jc w:val="center"/>
        <w:rPr>
          <w:rFonts w:ascii="Times New Roman" w:hAnsi="Times New Roman" w:cs="Times New Roman"/>
          <w:color w:val="000000" w:themeColor="text1"/>
          <w:sz w:val="24"/>
          <w:szCs w:val="24"/>
        </w:rPr>
      </w:pPr>
      <w:r w:rsidRPr="00796CDC">
        <w:rPr>
          <w:rFonts w:ascii="Times New Roman" w:hAnsi="Times New Roman" w:cs="Times New Roman"/>
          <w:noProof/>
          <w:color w:val="000000" w:themeColor="text1"/>
          <w:sz w:val="24"/>
          <w:szCs w:val="24"/>
        </w:rPr>
        <w:drawing>
          <wp:inline distT="0" distB="0" distL="0" distR="0" wp14:anchorId="3FB47DA8" wp14:editId="258E07ED">
            <wp:extent cx="5943600" cy="1981200"/>
            <wp:effectExtent l="0" t="0" r="0" b="0"/>
            <wp:docPr id="775796536" name="Picture 775796536"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96536" name="Picture 775796536" descr="A close-up of a graph&#10;&#10;AI-generated content may be incorrect."/>
                    <pic:cNvPicPr/>
                  </pic:nvPicPr>
                  <pic:blipFill>
                    <a:blip r:embed="rId16"/>
                    <a:stretch>
                      <a:fillRect/>
                    </a:stretch>
                  </pic:blipFill>
                  <pic:spPr>
                    <a:xfrm>
                      <a:off x="0" y="0"/>
                      <a:ext cx="5943600" cy="1981200"/>
                    </a:xfrm>
                    <a:prstGeom prst="rect">
                      <a:avLst/>
                    </a:prstGeom>
                  </pic:spPr>
                </pic:pic>
              </a:graphicData>
            </a:graphic>
          </wp:inline>
        </w:drawing>
      </w:r>
    </w:p>
    <w:p w14:paraId="439F4773" w14:textId="2D640605" w:rsidR="005458B4" w:rsidRPr="005458B4" w:rsidRDefault="005458B4" w:rsidP="00686D04">
      <w:pPr>
        <w:spacing w:after="0" w:line="240" w:lineRule="auto"/>
        <w:jc w:val="both"/>
        <w:rPr>
          <w:i/>
          <w:iCs/>
        </w:rPr>
      </w:pPr>
      <w:r w:rsidRPr="005458B4">
        <w:rPr>
          <w:rStyle w:val="Strong"/>
          <w:b w:val="0"/>
          <w:bCs w:val="0"/>
          <w:i/>
          <w:iCs/>
        </w:rPr>
        <w:t xml:space="preserve">Figure 5. </w:t>
      </w:r>
      <w:proofErr w:type="spellStart"/>
      <w:r w:rsidRPr="005458B4">
        <w:rPr>
          <w:rStyle w:val="Strong"/>
          <w:b w:val="0"/>
          <w:bCs w:val="0"/>
          <w:i/>
          <w:iCs/>
        </w:rPr>
        <w:t>PrEP</w:t>
      </w:r>
      <w:proofErr w:type="spellEnd"/>
      <w:r w:rsidRPr="005458B4">
        <w:rPr>
          <w:rStyle w:val="Strong"/>
          <w:b w:val="0"/>
          <w:bCs w:val="0"/>
          <w:i/>
          <w:iCs/>
        </w:rPr>
        <w:t xml:space="preserve"> delivery strategy: demand generation versus persistence support.</w:t>
      </w:r>
      <w:r w:rsidRPr="005458B4">
        <w:rPr>
          <w:i/>
          <w:iCs/>
        </w:rPr>
        <w:t xml:space="preserve"> </w:t>
      </w:r>
      <w:r w:rsidRPr="005458B4">
        <w:rPr>
          <w:i/>
          <w:iCs/>
        </w:rPr>
        <w:t xml:space="preserve">All scenarios assume 50% AGYW reach and the central </w:t>
      </w:r>
      <w:proofErr w:type="spellStart"/>
      <w:r w:rsidRPr="005458B4">
        <w:rPr>
          <w:i/>
          <w:iCs/>
        </w:rPr>
        <w:t>PrEP</w:t>
      </w:r>
      <w:proofErr w:type="spellEnd"/>
      <w:r w:rsidRPr="005458B4">
        <w:rPr>
          <w:i/>
          <w:iCs/>
        </w:rPr>
        <w:t xml:space="preserve">-initiation effect, with HIV testing held at baseline. (A) Projected AGYW HIV infections averted over 2025–2035 under demand generation, persistence support, and both combined. Persistence support was modelled as a 20%, 40%, or 60% reduction in weekly </w:t>
      </w:r>
      <w:proofErr w:type="spellStart"/>
      <w:r w:rsidRPr="005458B4">
        <w:rPr>
          <w:i/>
          <w:iCs/>
        </w:rPr>
        <w:t>PrEP</w:t>
      </w:r>
      <w:proofErr w:type="spellEnd"/>
      <w:r w:rsidRPr="005458B4">
        <w:rPr>
          <w:i/>
          <w:iCs/>
        </w:rPr>
        <w:t xml:space="preserve"> discontinuation. Points show means; error bars show 95% confidence intervals from paired t tests. (B) Projected AGYW </w:t>
      </w:r>
      <w:proofErr w:type="spellStart"/>
      <w:r w:rsidRPr="005458B4">
        <w:rPr>
          <w:i/>
          <w:iCs/>
        </w:rPr>
        <w:t>PrEP</w:t>
      </w:r>
      <w:proofErr w:type="spellEnd"/>
      <w:r w:rsidRPr="005458B4">
        <w:rPr>
          <w:i/>
          <w:iCs/>
        </w:rPr>
        <w:t xml:space="preserve"> coverage by strategy. Demand generation increased coverage to approximately 11%, persistence support alone had little effect on overall coverage but extended protected time among current </w:t>
      </w:r>
      <w:proofErr w:type="spellStart"/>
      <w:r w:rsidRPr="005458B4">
        <w:rPr>
          <w:i/>
          <w:iCs/>
        </w:rPr>
        <w:t>PrEP</w:t>
      </w:r>
      <w:proofErr w:type="spellEnd"/>
      <w:r w:rsidRPr="005458B4">
        <w:rPr>
          <w:i/>
          <w:iCs/>
        </w:rPr>
        <w:t xml:space="preserve"> users, and the combined strategy reached approximately 15.5%.</w:t>
      </w:r>
    </w:p>
    <w:p w14:paraId="486B8810" w14:textId="77777777" w:rsidR="00D574B6" w:rsidRDefault="00D574B6" w:rsidP="00686D04">
      <w:pPr>
        <w:spacing w:after="0" w:line="240" w:lineRule="auto"/>
        <w:rPr>
          <w:rFonts w:ascii="Times New Roman" w:hAnsi="Times New Roman" w:cs="Times New Roman"/>
          <w:color w:val="000000" w:themeColor="text1"/>
          <w:sz w:val="24"/>
          <w:szCs w:val="24"/>
        </w:rPr>
      </w:pPr>
    </w:p>
    <w:p w14:paraId="69E56E97" w14:textId="77777777" w:rsidR="00D574B6" w:rsidRDefault="00D574B6" w:rsidP="00686D04">
      <w:pPr>
        <w:spacing w:after="0" w:line="240" w:lineRule="auto"/>
        <w:rPr>
          <w:rFonts w:ascii="Times New Roman" w:hAnsi="Times New Roman" w:cs="Times New Roman"/>
          <w:color w:val="000000" w:themeColor="text1"/>
          <w:sz w:val="24"/>
          <w:szCs w:val="24"/>
        </w:rPr>
      </w:pPr>
    </w:p>
    <w:p w14:paraId="566BB838" w14:textId="77777777" w:rsidR="00D574B6" w:rsidRDefault="00D574B6" w:rsidP="00686D04">
      <w:pPr>
        <w:spacing w:after="0" w:line="240" w:lineRule="auto"/>
        <w:rPr>
          <w:rFonts w:ascii="Times New Roman" w:hAnsi="Times New Roman" w:cs="Times New Roman"/>
          <w:color w:val="000000" w:themeColor="text1"/>
          <w:sz w:val="24"/>
          <w:szCs w:val="24"/>
        </w:rPr>
      </w:pPr>
    </w:p>
    <w:p w14:paraId="5A6F8DB4" w14:textId="77777777" w:rsidR="00D574B6" w:rsidRDefault="00000000" w:rsidP="00686D04">
      <w:pPr>
        <w:spacing w:after="0" w:line="240" w:lineRule="auto"/>
        <w:rPr>
          <w:rFonts w:ascii="Times New Roman" w:hAnsi="Times New Roman" w:cs="Times New Roman"/>
          <w:b/>
          <w:bCs/>
          <w:color w:val="000000" w:themeColor="text1"/>
          <w:sz w:val="24"/>
          <w:szCs w:val="24"/>
        </w:rPr>
      </w:pPr>
      <w:r w:rsidRPr="00F34F70">
        <w:rPr>
          <w:rFonts w:ascii="Times New Roman" w:hAnsi="Times New Roman" w:cs="Times New Roman"/>
          <w:b/>
          <w:bCs/>
          <w:color w:val="000000" w:themeColor="text1"/>
          <w:sz w:val="24"/>
          <w:szCs w:val="24"/>
        </w:rPr>
        <w:t>Discussion</w:t>
      </w:r>
    </w:p>
    <w:p w14:paraId="66B82E34" w14:textId="77777777" w:rsidR="00D574B6" w:rsidRDefault="00F34F70" w:rsidP="00686D04">
      <w:pPr>
        <w:spacing w:after="0" w:line="240" w:lineRule="auto"/>
        <w:jc w:val="both"/>
        <w:rPr>
          <w:rFonts w:ascii="Times New Roman" w:hAnsi="Times New Roman" w:cs="Times New Roman"/>
          <w:color w:val="000000" w:themeColor="text1"/>
          <w:sz w:val="24"/>
          <w:szCs w:val="24"/>
        </w:rPr>
      </w:pPr>
      <w:r w:rsidRPr="00150E3D">
        <w:rPr>
          <w:rFonts w:ascii="Times New Roman" w:hAnsi="Times New Roman" w:cs="Times New Roman"/>
          <w:color w:val="000000" w:themeColor="text1"/>
          <w:sz w:val="24"/>
          <w:szCs w:val="24"/>
        </w:rPr>
        <w:t xml:space="preserve">Using a calibrated dynamic network model of heterosexual HIV transmission in South Africa, we estimated that an AI health companion that durably engages adolescent girls and young women with HIV testing and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could avert between 4.9% and 10.3% of new AGYW HIV infections over 2025–2035 at 50% reach, 3.3% to 6.3% at 30% reach, and up to 2.5% at 10% reach. Against a no-chatbot counterfactual of approximately 733,000 AGYW infections nationally over the projection period, this translates </w:t>
      </w:r>
      <w:r w:rsidR="00D574B6">
        <w:rPr>
          <w:rFonts w:ascii="Times New Roman" w:hAnsi="Times New Roman" w:cs="Times New Roman"/>
          <w:color w:val="000000" w:themeColor="text1"/>
          <w:sz w:val="24"/>
          <w:szCs w:val="24"/>
        </w:rPr>
        <w:t>between</w:t>
      </w:r>
      <w:r w:rsidRPr="00150E3D">
        <w:rPr>
          <w:rFonts w:ascii="Times New Roman" w:hAnsi="Times New Roman" w:cs="Times New Roman"/>
          <w:color w:val="000000" w:themeColor="text1"/>
          <w:sz w:val="24"/>
          <w:szCs w:val="24"/>
        </w:rPr>
        <w:t xml:space="preserve"> 35,670 to 75,191 infections averted at 50% reach depending on the causal-fraction assumption applied to observational engagement contrasts. Eight of nine intervention scenarios were statistically significant at the 0.05 level. The projected benefit operated primarily through increased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uptake and sustained protected person-time during periods of HIV exposure, with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coverage rising from approximately 3% at baseline to 8–14% depending on reach and assumption, constrained by rapid oral-</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w:t>
      </w:r>
      <w:r w:rsidR="00D574B6" w:rsidRPr="00150E3D">
        <w:rPr>
          <w:rFonts w:ascii="Times New Roman" w:hAnsi="Times New Roman" w:cs="Times New Roman"/>
          <w:color w:val="000000" w:themeColor="text1"/>
          <w:sz w:val="24"/>
          <w:szCs w:val="24"/>
        </w:rPr>
        <w:t>discontinuation. This</w:t>
      </w:r>
      <w:r w:rsidRPr="00150E3D">
        <w:rPr>
          <w:rFonts w:ascii="Times New Roman" w:hAnsi="Times New Roman" w:cs="Times New Roman"/>
          <w:color w:val="000000" w:themeColor="text1"/>
          <w:sz w:val="24"/>
          <w:szCs w:val="24"/>
        </w:rPr>
        <w:t xml:space="preserve"> finding is epidemiologically plausible because the intervention acts on a persistent prevention gap in a high-burden setting. AGYW in South Africa remain disproportionately affected by HIV, and this risk is shaped by age-disparate partnerships in which young women acquire infection from older male partners with substantially higher HIV prevalence [34,35]. In the calibrated model, HIV prevalence in the older male partner pool (men aged 25–44 years) ranged from approximately 7% to 22%, against which AGYW acquired infection. This age-disparate structure is well documented in South African surveillance and cohort studies and is a key driver of the persistent AGYW epidemic </w:t>
      </w:r>
      <w:r w:rsidRPr="00150E3D">
        <w:rPr>
          <w:rFonts w:ascii="Times New Roman" w:hAnsi="Times New Roman" w:cs="Times New Roman"/>
          <w:color w:val="000000" w:themeColor="text1"/>
          <w:sz w:val="24"/>
          <w:szCs w:val="24"/>
        </w:rPr>
        <w:lastRenderedPageBreak/>
        <w:t>[36,37]. The model reproduced the South African HIV trajectory from 1990 to 2022 with a root-mean-square error of 0.031 against joint prevalence and incidence targets, lending confidence to the projected counterfactual and intervention scenarios. Importantly, the model also reproduced the observed care-cascade shortfall among AGYW without cascade-specific tuning. Among HIV-positive AGYW in 2022, 73% were diagnosed, 66% were on ART, and 62% were virally suppressed, compared with 89%, 81%, and 78%, respectively, among all adults aged 15–49 years. These values closely matched empirical estimates in which young women lag the adult cascade by approximately 15 percentage points in diagnosis and suppression [38]. In this context, modest improvements in effective prevention coverage can translate into population-level reductions in HIV acquisition when they reach young women during periods of high risk.</w:t>
      </w:r>
    </w:p>
    <w:p w14:paraId="11004D8E" w14:textId="77777777" w:rsidR="00E71DE8" w:rsidRDefault="00E71DE8" w:rsidP="00686D04">
      <w:pPr>
        <w:spacing w:after="0" w:line="240" w:lineRule="auto"/>
        <w:jc w:val="both"/>
        <w:rPr>
          <w:rFonts w:ascii="Times New Roman" w:hAnsi="Times New Roman" w:cs="Times New Roman"/>
          <w:color w:val="000000" w:themeColor="text1"/>
          <w:sz w:val="24"/>
          <w:szCs w:val="24"/>
        </w:rPr>
      </w:pPr>
    </w:p>
    <w:p w14:paraId="36472EDB" w14:textId="77777777" w:rsidR="00D574B6" w:rsidRDefault="00761540" w:rsidP="00686D04">
      <w:pPr>
        <w:spacing w:after="0" w:line="240" w:lineRule="auto"/>
        <w:jc w:val="both"/>
        <w:rPr>
          <w:rFonts w:ascii="Times New Roman" w:hAnsi="Times New Roman" w:cs="Times New Roman"/>
          <w:color w:val="000000" w:themeColor="text1"/>
          <w:sz w:val="24"/>
          <w:szCs w:val="24"/>
        </w:rPr>
      </w:pPr>
      <w:r w:rsidRPr="00150E3D">
        <w:rPr>
          <w:rFonts w:ascii="Times New Roman" w:hAnsi="Times New Roman" w:cs="Times New Roman"/>
          <w:color w:val="000000" w:themeColor="text1"/>
          <w:sz w:val="24"/>
          <w:szCs w:val="24"/>
        </w:rPr>
        <w:t xml:space="preserve">The projected benefit operated primarily through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but the key epidemiological mechanism was sustained protected person-time, not simply </w:t>
      </w:r>
      <w:r w:rsidR="00D574B6">
        <w:rPr>
          <w:rFonts w:ascii="Times New Roman" w:hAnsi="Times New Roman" w:cs="Times New Roman"/>
          <w:color w:val="000000" w:themeColor="text1"/>
          <w:sz w:val="24"/>
          <w:szCs w:val="24"/>
        </w:rPr>
        <w:t>uptake</w:t>
      </w:r>
      <w:r w:rsidRPr="00150E3D">
        <w:rPr>
          <w:rFonts w:ascii="Times New Roman" w:hAnsi="Times New Roman" w:cs="Times New Roman"/>
          <w:color w:val="000000" w:themeColor="text1"/>
          <w:sz w:val="24"/>
          <w:szCs w:val="24"/>
        </w:rPr>
        <w:t xml:space="preserve">. Oral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is highly effective when taken, but its real-world population impact depends on the full prevention cascade: identifying individuals at risk, supporting uptake, sustaining use during periods of exposure, and enabling re-initiation after discontinuation [39,40,41]. In the model, Aimee increased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w:t>
      </w:r>
      <w:r w:rsidR="00D574B6">
        <w:rPr>
          <w:rFonts w:ascii="Times New Roman" w:hAnsi="Times New Roman" w:cs="Times New Roman"/>
          <w:color w:val="000000" w:themeColor="text1"/>
          <w:sz w:val="24"/>
          <w:szCs w:val="24"/>
        </w:rPr>
        <w:t>uptake</w:t>
      </w:r>
      <w:r w:rsidRPr="00150E3D">
        <w:rPr>
          <w:rFonts w:ascii="Times New Roman" w:hAnsi="Times New Roman" w:cs="Times New Roman"/>
          <w:color w:val="000000" w:themeColor="text1"/>
          <w:sz w:val="24"/>
          <w:szCs w:val="24"/>
        </w:rPr>
        <w:t xml:space="preserve"> among reached AGYW, raising prevention coverage in a population exposed to higher-prevalence older male partners. However, impact was constrained by rapid oral-</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discontinuation. Baseline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coverage remained near 3% with high turnover, reflecting a median continuation duration of approximately six months. After chatbot introduction in 2025,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coverage increased to approximately 8% at 30% reach, 11% at 50% reach under the central assumption, and 14% at 50% reach under the optimistic assumption by 2034. These gains were constrained by poor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persistence: under realistic discontinuation assumptions,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coverage reached only about half the level attainable under an optimistic long-retention scenario. This is consistent with implementation studies showing poor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persistence among AGYW and young women in South Africa and similar settings, where median continuation ranges from three to nine months and 12-month retention is often below 30% [42,43]. </w:t>
      </w:r>
    </w:p>
    <w:p w14:paraId="06A7DC86" w14:textId="77777777" w:rsidR="00E71DE8" w:rsidRDefault="00E71DE8" w:rsidP="00686D04">
      <w:pPr>
        <w:spacing w:after="0" w:line="240" w:lineRule="auto"/>
        <w:jc w:val="both"/>
        <w:rPr>
          <w:rFonts w:ascii="Times New Roman" w:hAnsi="Times New Roman" w:cs="Times New Roman"/>
          <w:color w:val="000000" w:themeColor="text1"/>
          <w:sz w:val="24"/>
          <w:szCs w:val="24"/>
        </w:rPr>
      </w:pPr>
    </w:p>
    <w:p w14:paraId="1E02FE4B" w14:textId="77777777" w:rsidR="00E71DE8" w:rsidRDefault="00761540" w:rsidP="00686D04">
      <w:pPr>
        <w:spacing w:after="0" w:line="240" w:lineRule="auto"/>
        <w:jc w:val="both"/>
        <w:rPr>
          <w:rFonts w:ascii="Times New Roman" w:hAnsi="Times New Roman" w:cs="Times New Roman"/>
          <w:color w:val="000000" w:themeColor="text1"/>
          <w:sz w:val="24"/>
          <w:szCs w:val="24"/>
        </w:rPr>
      </w:pPr>
      <w:r w:rsidRPr="00150E3D">
        <w:rPr>
          <w:rFonts w:ascii="Times New Roman" w:hAnsi="Times New Roman" w:cs="Times New Roman"/>
          <w:color w:val="000000" w:themeColor="text1"/>
          <w:sz w:val="24"/>
          <w:szCs w:val="24"/>
        </w:rPr>
        <w:t xml:space="preserve">The contribution of Aimee should therefore be interpreted as an implementation effect rather than as a new biomedical prevention modality. Previous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modelling studies have shown that infections averted depend strongly on whether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reaches populations at high risk and is used consistently during periods of exposure [45,46,52]. Our analysis extends this literature by estimating how chatbot-mediated improvements in HIV testing and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w:t>
      </w:r>
      <w:r w:rsidR="00D574B6">
        <w:rPr>
          <w:rFonts w:ascii="Times New Roman" w:hAnsi="Times New Roman" w:cs="Times New Roman"/>
          <w:color w:val="000000" w:themeColor="text1"/>
          <w:sz w:val="24"/>
          <w:szCs w:val="24"/>
        </w:rPr>
        <w:t>uptake</w:t>
      </w:r>
      <w:r w:rsidRPr="00150E3D">
        <w:rPr>
          <w:rFonts w:ascii="Times New Roman" w:hAnsi="Times New Roman" w:cs="Times New Roman"/>
          <w:color w:val="000000" w:themeColor="text1"/>
          <w:sz w:val="24"/>
          <w:szCs w:val="24"/>
        </w:rPr>
        <w:t xml:space="preserve"> could translate into incremental population-level reductions in HIV incidence when discontinuation continually erodes coverage and requires repeated initiation or re-initiation to sustain population-level protection.</w:t>
      </w:r>
      <w:r>
        <w:rPr>
          <w:rFonts w:ascii="Times New Roman" w:hAnsi="Times New Roman" w:cs="Times New Roman"/>
          <w:b/>
          <w:bCs/>
          <w:color w:val="000000" w:themeColor="text1"/>
          <w:sz w:val="24"/>
          <w:szCs w:val="24"/>
        </w:rPr>
        <w:t xml:space="preserve"> </w:t>
      </w:r>
      <w:r w:rsidRPr="00150E3D">
        <w:rPr>
          <w:rFonts w:ascii="Times New Roman" w:hAnsi="Times New Roman" w:cs="Times New Roman"/>
          <w:color w:val="000000" w:themeColor="text1"/>
          <w:sz w:val="24"/>
          <w:szCs w:val="24"/>
        </w:rPr>
        <w:t xml:space="preserve">The secondary analysis of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delivery strategies yields a novel programmatic implication: digital health tools should be designed for both demand generation and persistence support, not initiation alone. Digital and mobile health interventions for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among AGYW in sub-Saharan Africa have shown high acceptability and potential to support uptake, adherence, and persistence, although rigorous effectiveness evidence remains limited [47]. Chatbot studies in HIV prevention similarly suggest that conversational tools may reduce informational, privacy, and stigma-related barriers to testing and prevention engagement [48,49]. Our results suggest that this captures only part of their potential value. At 50% reach under the </w:t>
      </w:r>
      <w:r w:rsidRPr="00150E3D">
        <w:rPr>
          <w:rFonts w:ascii="Times New Roman" w:hAnsi="Times New Roman" w:cs="Times New Roman"/>
          <w:color w:val="000000" w:themeColor="text1"/>
          <w:sz w:val="24"/>
          <w:szCs w:val="24"/>
        </w:rPr>
        <w:lastRenderedPageBreak/>
        <w:t xml:space="preserve">central assumption, demand generation alone averted 43,192 infections (5.8% reduction), raising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coverage from approximately 3% to 11%. However, coverage plateaued as new users continued to discontinue at baseline rates. Persistence support alone, modelled as a 60% reduction in weekly discontinuation probability without new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recruitment, averted</w:t>
      </w:r>
      <w:r>
        <w:rPr>
          <w:rFonts w:ascii="Times New Roman" w:hAnsi="Times New Roman" w:cs="Times New Roman"/>
          <w:b/>
          <w:bCs/>
          <w:color w:val="000000" w:themeColor="text1"/>
          <w:sz w:val="24"/>
          <w:szCs w:val="24"/>
        </w:rPr>
        <w:t xml:space="preserve"> </w:t>
      </w:r>
      <w:r w:rsidRPr="00D15CD0">
        <w:rPr>
          <w:rFonts w:ascii="Times New Roman" w:hAnsi="Times New Roman" w:cs="Times New Roman"/>
          <w:color w:val="000000" w:themeColor="text1"/>
          <w:sz w:val="24"/>
          <w:szCs w:val="24"/>
        </w:rPr>
        <w:t>approximately</w:t>
      </w:r>
      <w:r w:rsidRPr="00150E3D">
        <w:rPr>
          <w:rFonts w:ascii="Times New Roman" w:hAnsi="Times New Roman" w:cs="Times New Roman"/>
          <w:color w:val="000000" w:themeColor="text1"/>
          <w:sz w:val="24"/>
          <w:szCs w:val="24"/>
        </w:rPr>
        <w:t xml:space="preserve"> 38,010 infections (5.1% reduction) despite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coverage remaining at or below 3.2%. This near-equivalence in impact despite a threefold difference in coverage occurred because persistence support concentrated protection among clinically eligible, higher-risk women already on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increasing the duration of effective protection during periods of HIV exposure. At a 40% discontinuation reduction, persistence support alone averted 27,465 infections (3.7% reduction), demonstrating a dose-response relationship. </w:t>
      </w:r>
    </w:p>
    <w:p w14:paraId="4A769091" w14:textId="77777777" w:rsidR="00E71DE8" w:rsidRDefault="00E71DE8" w:rsidP="00686D04">
      <w:pPr>
        <w:spacing w:after="0" w:line="240" w:lineRule="auto"/>
        <w:jc w:val="both"/>
        <w:rPr>
          <w:rFonts w:ascii="Times New Roman" w:hAnsi="Times New Roman" w:cs="Times New Roman"/>
          <w:color w:val="000000" w:themeColor="text1"/>
          <w:sz w:val="24"/>
          <w:szCs w:val="24"/>
        </w:rPr>
      </w:pPr>
    </w:p>
    <w:p w14:paraId="46BF1101" w14:textId="73E244CE" w:rsidR="00761540" w:rsidRDefault="00761540" w:rsidP="00686D04">
      <w:pPr>
        <w:spacing w:after="0" w:line="240" w:lineRule="auto"/>
        <w:jc w:val="both"/>
        <w:rPr>
          <w:rFonts w:ascii="Times New Roman" w:hAnsi="Times New Roman" w:cs="Times New Roman"/>
          <w:b/>
          <w:bCs/>
          <w:color w:val="000000" w:themeColor="text1"/>
          <w:sz w:val="24"/>
          <w:szCs w:val="24"/>
        </w:rPr>
      </w:pPr>
      <w:r w:rsidRPr="00150E3D">
        <w:rPr>
          <w:rFonts w:ascii="Times New Roman" w:hAnsi="Times New Roman" w:cs="Times New Roman"/>
          <w:color w:val="000000" w:themeColor="text1"/>
          <w:sz w:val="24"/>
          <w:szCs w:val="24"/>
        </w:rPr>
        <w:t xml:space="preserve">Combining demand generation with persistence support produced super-additive effects. At 40% discontinuation reduction, the combined strategy averted 86,480 infections (11.6% reduction), exceeding the 9.4% expected from additive effects by 2.1 percentage points, suggesting complementarity between expanding the number of protected women and increasing the time they remain protected. At 60% discontinuation reduction, the combined strategy averted 108,253 infections (14.5% reduction), with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coverage rising to approximately 15.5%. These findings suggest that a chatbot that supports persistence through reminders, side-effect counselling, refill navigation, risk reassessment, or re-initiation after stopping could increase the duration of effective protection among women already identified as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-eligible, and that combining demand generation with persistence support may be more epidemiologically efficient than focusing on initiation alone. This is particularly relevant as HIV prevention </w:t>
      </w:r>
      <w:proofErr w:type="spellStart"/>
      <w:r w:rsidRPr="00150E3D">
        <w:rPr>
          <w:rFonts w:ascii="Times New Roman" w:hAnsi="Times New Roman" w:cs="Times New Roman"/>
          <w:color w:val="000000" w:themeColor="text1"/>
          <w:sz w:val="24"/>
          <w:szCs w:val="24"/>
        </w:rPr>
        <w:t>programmes</w:t>
      </w:r>
      <w:proofErr w:type="spellEnd"/>
      <w:r w:rsidRPr="00150E3D">
        <w:rPr>
          <w:rFonts w:ascii="Times New Roman" w:hAnsi="Times New Roman" w:cs="Times New Roman"/>
          <w:color w:val="000000" w:themeColor="text1"/>
          <w:sz w:val="24"/>
          <w:szCs w:val="24"/>
        </w:rPr>
        <w:t xml:space="preserve"> move toward longer-acting </w:t>
      </w:r>
      <w:proofErr w:type="spellStart"/>
      <w:r w:rsidRPr="00150E3D">
        <w:rPr>
          <w:rFonts w:ascii="Times New Roman" w:hAnsi="Times New Roman" w:cs="Times New Roman"/>
          <w:color w:val="000000" w:themeColor="text1"/>
          <w:sz w:val="24"/>
          <w:szCs w:val="24"/>
        </w:rPr>
        <w:t>PrEP</w:t>
      </w:r>
      <w:proofErr w:type="spellEnd"/>
      <w:r w:rsidRPr="00150E3D">
        <w:rPr>
          <w:rFonts w:ascii="Times New Roman" w:hAnsi="Times New Roman" w:cs="Times New Roman"/>
          <w:color w:val="000000" w:themeColor="text1"/>
          <w:sz w:val="24"/>
          <w:szCs w:val="24"/>
        </w:rPr>
        <w:t xml:space="preserve"> options such as the </w:t>
      </w:r>
      <w:proofErr w:type="spellStart"/>
      <w:r w:rsidRPr="00150E3D">
        <w:rPr>
          <w:rFonts w:ascii="Times New Roman" w:hAnsi="Times New Roman" w:cs="Times New Roman"/>
          <w:color w:val="000000" w:themeColor="text1"/>
          <w:sz w:val="24"/>
          <w:szCs w:val="24"/>
        </w:rPr>
        <w:t>dapivirine</w:t>
      </w:r>
      <w:proofErr w:type="spellEnd"/>
      <w:r w:rsidRPr="00150E3D">
        <w:rPr>
          <w:rFonts w:ascii="Times New Roman" w:hAnsi="Times New Roman" w:cs="Times New Roman"/>
          <w:color w:val="000000" w:themeColor="text1"/>
          <w:sz w:val="24"/>
          <w:szCs w:val="24"/>
        </w:rPr>
        <w:t xml:space="preserve"> vaginal ring and injectable cabotegravir, where navigation, follow-up, and continuation support may be as important as initial demand creation [44].</w:t>
      </w:r>
    </w:p>
    <w:p w14:paraId="2AFC3658" w14:textId="482496C4" w:rsidR="00761540" w:rsidRDefault="00761540" w:rsidP="00686D04">
      <w:pPr>
        <w:pStyle w:val="Heading1"/>
        <w:spacing w:line="240" w:lineRule="auto"/>
        <w:jc w:val="both"/>
        <w:rPr>
          <w:rFonts w:ascii="Times New Roman" w:hAnsi="Times New Roman" w:cs="Times New Roman"/>
          <w:b w:val="0"/>
          <w:bCs w:val="0"/>
          <w:color w:val="000000" w:themeColor="text1"/>
          <w:sz w:val="24"/>
          <w:szCs w:val="24"/>
        </w:rPr>
      </w:pPr>
      <w:r w:rsidRPr="00150E3D">
        <w:rPr>
          <w:rFonts w:ascii="Times New Roman" w:hAnsi="Times New Roman" w:cs="Times New Roman"/>
          <w:b w:val="0"/>
          <w:bCs w:val="0"/>
          <w:color w:val="000000" w:themeColor="text1"/>
          <w:sz w:val="24"/>
          <w:szCs w:val="24"/>
        </w:rPr>
        <w:t xml:space="preserve">This analysis has several strengths. </w:t>
      </w:r>
      <w:r w:rsidR="00D15CD0">
        <w:rPr>
          <w:rFonts w:ascii="Times New Roman" w:hAnsi="Times New Roman" w:cs="Times New Roman"/>
          <w:b w:val="0"/>
          <w:bCs w:val="0"/>
          <w:color w:val="000000" w:themeColor="text1"/>
          <w:sz w:val="24"/>
          <w:szCs w:val="24"/>
        </w:rPr>
        <w:t xml:space="preserve">The </w:t>
      </w:r>
      <w:r w:rsidRPr="00150E3D">
        <w:rPr>
          <w:rFonts w:ascii="Times New Roman" w:hAnsi="Times New Roman" w:cs="Times New Roman"/>
          <w:b w:val="0"/>
          <w:bCs w:val="0"/>
          <w:color w:val="000000" w:themeColor="text1"/>
          <w:sz w:val="24"/>
          <w:szCs w:val="24"/>
        </w:rPr>
        <w:t xml:space="preserve">model was calibrated to the South African epidemic trajectory from 1990 to 2022, against joint prevalence and incidence targets, lending confidence to the projected counterfactual and intervention scenarios. </w:t>
      </w:r>
      <w:r>
        <w:rPr>
          <w:rFonts w:ascii="Times New Roman" w:hAnsi="Times New Roman" w:cs="Times New Roman"/>
          <w:b w:val="0"/>
          <w:bCs w:val="0"/>
          <w:color w:val="000000" w:themeColor="text1"/>
          <w:sz w:val="24"/>
          <w:szCs w:val="24"/>
        </w:rPr>
        <w:t xml:space="preserve">The </w:t>
      </w:r>
      <w:r w:rsidRPr="00150E3D">
        <w:rPr>
          <w:rFonts w:ascii="Times New Roman" w:hAnsi="Times New Roman" w:cs="Times New Roman"/>
          <w:b w:val="0"/>
          <w:bCs w:val="0"/>
          <w:color w:val="000000" w:themeColor="text1"/>
          <w:sz w:val="24"/>
          <w:szCs w:val="24"/>
        </w:rPr>
        <w:t xml:space="preserve">model reproduced the observed care-cascade shortfall among AGYW relative to adults without cascade-specific tuning. This emergent property arose from the age and infection-duration structure: young women were more recently infected on average and therefore had less time to be diagnosed, linked to ART, and virally suppressed. This matters because AGYW are often more recently infected and have had less time to engage with the care cascade, and the model captured this feature without ad hoc adjustment. </w:t>
      </w:r>
      <w:r w:rsidR="00516A56">
        <w:rPr>
          <w:rFonts w:ascii="Times New Roman" w:hAnsi="Times New Roman" w:cs="Times New Roman"/>
          <w:b w:val="0"/>
          <w:bCs w:val="0"/>
          <w:color w:val="000000" w:themeColor="text1"/>
          <w:sz w:val="24"/>
          <w:szCs w:val="24"/>
        </w:rPr>
        <w:t>T</w:t>
      </w:r>
      <w:r w:rsidRPr="00150E3D">
        <w:rPr>
          <w:rFonts w:ascii="Times New Roman" w:hAnsi="Times New Roman" w:cs="Times New Roman"/>
          <w:b w:val="0"/>
          <w:bCs w:val="0"/>
          <w:color w:val="000000" w:themeColor="text1"/>
          <w:sz w:val="24"/>
          <w:szCs w:val="24"/>
        </w:rPr>
        <w:t>he model incorporated realistic oral-</w:t>
      </w:r>
      <w:proofErr w:type="spellStart"/>
      <w:r w:rsidRPr="00150E3D">
        <w:rPr>
          <w:rFonts w:ascii="Times New Roman" w:hAnsi="Times New Roman" w:cs="Times New Roman"/>
          <w:b w:val="0"/>
          <w:bCs w:val="0"/>
          <w:color w:val="000000" w:themeColor="text1"/>
          <w:sz w:val="24"/>
          <w:szCs w:val="24"/>
        </w:rPr>
        <w:t>PrEP</w:t>
      </w:r>
      <w:proofErr w:type="spellEnd"/>
      <w:r w:rsidRPr="00150E3D">
        <w:rPr>
          <w:rFonts w:ascii="Times New Roman" w:hAnsi="Times New Roman" w:cs="Times New Roman"/>
          <w:b w:val="0"/>
          <w:bCs w:val="0"/>
          <w:color w:val="000000" w:themeColor="text1"/>
          <w:sz w:val="24"/>
          <w:szCs w:val="24"/>
        </w:rPr>
        <w:t xml:space="preserve"> discontinuation, producing a baseline in which </w:t>
      </w:r>
      <w:proofErr w:type="spellStart"/>
      <w:r w:rsidRPr="00150E3D">
        <w:rPr>
          <w:rFonts w:ascii="Times New Roman" w:hAnsi="Times New Roman" w:cs="Times New Roman"/>
          <w:b w:val="0"/>
          <w:bCs w:val="0"/>
          <w:color w:val="000000" w:themeColor="text1"/>
          <w:sz w:val="24"/>
          <w:szCs w:val="24"/>
        </w:rPr>
        <w:t>PrEP</w:t>
      </w:r>
      <w:proofErr w:type="spellEnd"/>
      <w:r w:rsidRPr="00150E3D">
        <w:rPr>
          <w:rFonts w:ascii="Times New Roman" w:hAnsi="Times New Roman" w:cs="Times New Roman"/>
          <w:b w:val="0"/>
          <w:bCs w:val="0"/>
          <w:color w:val="000000" w:themeColor="text1"/>
          <w:sz w:val="24"/>
          <w:szCs w:val="24"/>
        </w:rPr>
        <w:t xml:space="preserve"> coverage remained low (approximately 3%) despite eligibility, with high turnover. This places the chatbot's projected impact in the context of an imperfect but existing standard of care, which is the setting in which such tools would </w:t>
      </w:r>
      <w:proofErr w:type="gramStart"/>
      <w:r w:rsidRPr="00150E3D">
        <w:rPr>
          <w:rFonts w:ascii="Times New Roman" w:hAnsi="Times New Roman" w:cs="Times New Roman"/>
          <w:b w:val="0"/>
          <w:bCs w:val="0"/>
          <w:color w:val="000000" w:themeColor="text1"/>
          <w:sz w:val="24"/>
          <w:szCs w:val="24"/>
        </w:rPr>
        <w:t>actually be</w:t>
      </w:r>
      <w:proofErr w:type="gramEnd"/>
      <w:r w:rsidRPr="00150E3D">
        <w:rPr>
          <w:rFonts w:ascii="Times New Roman" w:hAnsi="Times New Roman" w:cs="Times New Roman"/>
          <w:b w:val="0"/>
          <w:bCs w:val="0"/>
          <w:color w:val="000000" w:themeColor="text1"/>
          <w:sz w:val="24"/>
          <w:szCs w:val="24"/>
        </w:rPr>
        <w:t xml:space="preserve"> deployed. </w:t>
      </w:r>
      <w:r w:rsidR="00516A56">
        <w:rPr>
          <w:rFonts w:ascii="Times New Roman" w:hAnsi="Times New Roman" w:cs="Times New Roman"/>
          <w:b w:val="0"/>
          <w:bCs w:val="0"/>
          <w:color w:val="000000" w:themeColor="text1"/>
          <w:sz w:val="24"/>
          <w:szCs w:val="24"/>
        </w:rPr>
        <w:t>We</w:t>
      </w:r>
      <w:r w:rsidRPr="00150E3D">
        <w:rPr>
          <w:rFonts w:ascii="Times New Roman" w:hAnsi="Times New Roman" w:cs="Times New Roman"/>
          <w:b w:val="0"/>
          <w:bCs w:val="0"/>
          <w:color w:val="000000" w:themeColor="text1"/>
          <w:sz w:val="24"/>
          <w:szCs w:val="24"/>
        </w:rPr>
        <w:t xml:space="preserve"> used a causal-fraction sensitivity analysis across conservative, central, and optimistic assumptions to bound uncertainty arising from observational effect sizes, rather than treating engagement contrasts as fully causal. </w:t>
      </w:r>
      <w:r w:rsidR="00516A56">
        <w:rPr>
          <w:rFonts w:ascii="Times New Roman" w:hAnsi="Times New Roman" w:cs="Times New Roman"/>
          <w:b w:val="0"/>
          <w:bCs w:val="0"/>
          <w:color w:val="000000" w:themeColor="text1"/>
          <w:sz w:val="24"/>
          <w:szCs w:val="24"/>
        </w:rPr>
        <w:t>The</w:t>
      </w:r>
      <w:r w:rsidRPr="00150E3D">
        <w:rPr>
          <w:rFonts w:ascii="Times New Roman" w:hAnsi="Times New Roman" w:cs="Times New Roman"/>
          <w:b w:val="0"/>
          <w:bCs w:val="0"/>
          <w:color w:val="000000" w:themeColor="text1"/>
          <w:sz w:val="24"/>
          <w:szCs w:val="24"/>
        </w:rPr>
        <w:t xml:space="preserve"> simulation design used </w:t>
      </w:r>
      <w:r w:rsidR="00516A56">
        <w:rPr>
          <w:rFonts w:ascii="Times New Roman" w:hAnsi="Times New Roman" w:cs="Times New Roman"/>
          <w:b w:val="0"/>
          <w:bCs w:val="0"/>
          <w:color w:val="000000" w:themeColor="text1"/>
          <w:sz w:val="24"/>
          <w:szCs w:val="24"/>
        </w:rPr>
        <w:t xml:space="preserve">same </w:t>
      </w:r>
      <w:r w:rsidRPr="00150E3D">
        <w:rPr>
          <w:rFonts w:ascii="Times New Roman" w:hAnsi="Times New Roman" w:cs="Times New Roman"/>
          <w:b w:val="0"/>
          <w:bCs w:val="0"/>
          <w:color w:val="000000" w:themeColor="text1"/>
          <w:sz w:val="24"/>
          <w:szCs w:val="24"/>
        </w:rPr>
        <w:t>random numbers to pair intervention and counterfactual trajectories, increasing statistical precision and enabling detection of modest but meaningful effects.</w:t>
      </w:r>
    </w:p>
    <w:p w14:paraId="11234086" w14:textId="28BDA5C9" w:rsidR="00F34F70" w:rsidRPr="00F34F70" w:rsidRDefault="00F34F70" w:rsidP="00686D04">
      <w:pPr>
        <w:spacing w:after="0" w:line="240" w:lineRule="auto"/>
        <w:jc w:val="both"/>
        <w:rPr>
          <w:rFonts w:ascii="Times New Roman" w:hAnsi="Times New Roman" w:cs="Times New Roman"/>
          <w:b/>
          <w:bCs/>
          <w:color w:val="000000" w:themeColor="text1"/>
          <w:sz w:val="18"/>
          <w:szCs w:val="18"/>
        </w:rPr>
      </w:pPr>
    </w:p>
    <w:p w14:paraId="0FC15CC6" w14:textId="77777777" w:rsidR="00F34F70" w:rsidRDefault="00F34F70" w:rsidP="00686D04">
      <w:pPr>
        <w:pStyle w:val="Heading1"/>
        <w:spacing w:line="240" w:lineRule="auto"/>
        <w:jc w:val="both"/>
        <w:rPr>
          <w:rFonts w:ascii="Times New Roman" w:hAnsi="Times New Roman" w:cs="Times New Roman"/>
          <w:color w:val="000000" w:themeColor="text1"/>
          <w:sz w:val="24"/>
          <w:szCs w:val="24"/>
        </w:rPr>
      </w:pPr>
      <w:r w:rsidRPr="000729B5">
        <w:rPr>
          <w:rFonts w:ascii="Times New Roman" w:hAnsi="Times New Roman" w:cs="Times New Roman"/>
          <w:color w:val="000000" w:themeColor="text1"/>
          <w:sz w:val="24"/>
          <w:szCs w:val="24"/>
        </w:rPr>
        <w:lastRenderedPageBreak/>
        <w:t>Limitations</w:t>
      </w:r>
    </w:p>
    <w:p w14:paraId="3835F713" w14:textId="6C357002" w:rsidR="00F34F70" w:rsidRPr="00F34F70" w:rsidRDefault="00516A56" w:rsidP="00686D04">
      <w:pPr>
        <w:pStyle w:val="Heading1"/>
        <w:spacing w:before="0" w:line="240" w:lineRule="auto"/>
        <w:jc w:val="both"/>
        <w:rPr>
          <w:rFonts w:ascii="Times New Roman" w:hAnsi="Times New Roman" w:cs="Times New Roman"/>
          <w:color w:val="000000" w:themeColor="text1"/>
          <w:sz w:val="24"/>
          <w:szCs w:val="24"/>
        </w:rPr>
      </w:pPr>
      <w:r>
        <w:rPr>
          <w:rFonts w:ascii="Times New Roman" w:hAnsi="Times New Roman" w:cs="Times New Roman"/>
          <w:b w:val="0"/>
          <w:bCs w:val="0"/>
          <w:color w:val="000000" w:themeColor="text1"/>
          <w:sz w:val="24"/>
          <w:szCs w:val="24"/>
        </w:rPr>
        <w:t>T</w:t>
      </w:r>
      <w:r w:rsidR="00F34F70" w:rsidRPr="00150E3D">
        <w:rPr>
          <w:rFonts w:ascii="Times New Roman" w:hAnsi="Times New Roman" w:cs="Times New Roman"/>
          <w:b w:val="0"/>
          <w:bCs w:val="0"/>
          <w:color w:val="000000" w:themeColor="text1"/>
          <w:sz w:val="24"/>
          <w:szCs w:val="24"/>
        </w:rPr>
        <w:t xml:space="preserve">he chatbot effect sizes were derived from observational engagement contrasts in a single-arm cohort. More-engaged users may differ from less-engaged users in motivation, health-seeking </w:t>
      </w:r>
      <w:proofErr w:type="spellStart"/>
      <w:r w:rsidR="00F34F70" w:rsidRPr="00150E3D">
        <w:rPr>
          <w:rFonts w:ascii="Times New Roman" w:hAnsi="Times New Roman" w:cs="Times New Roman"/>
          <w:b w:val="0"/>
          <w:bCs w:val="0"/>
          <w:color w:val="000000" w:themeColor="text1"/>
          <w:sz w:val="24"/>
          <w:szCs w:val="24"/>
        </w:rPr>
        <w:t>behaviour</w:t>
      </w:r>
      <w:proofErr w:type="spellEnd"/>
      <w:r w:rsidR="00F34F70" w:rsidRPr="00150E3D">
        <w:rPr>
          <w:rFonts w:ascii="Times New Roman" w:hAnsi="Times New Roman" w:cs="Times New Roman"/>
          <w:b w:val="0"/>
          <w:bCs w:val="0"/>
          <w:color w:val="000000" w:themeColor="text1"/>
          <w:sz w:val="24"/>
          <w:szCs w:val="24"/>
        </w:rPr>
        <w:t xml:space="preserve">, baseline prevention intent, or HIV risk. If engagement reflects pre-existing motivation or lower barriers to care, the observational contrasts may overstate the causal effect of the chatbot. Conversely, if engagement reflects the chatbot's success in reducing informational, privacy, or stigma-related barriers among women who would not otherwise have accessed testing or </w:t>
      </w:r>
      <w:proofErr w:type="spellStart"/>
      <w:r w:rsidR="00F34F70" w:rsidRPr="00150E3D">
        <w:rPr>
          <w:rFonts w:ascii="Times New Roman" w:hAnsi="Times New Roman" w:cs="Times New Roman"/>
          <w:b w:val="0"/>
          <w:bCs w:val="0"/>
          <w:color w:val="000000" w:themeColor="text1"/>
          <w:sz w:val="24"/>
          <w:szCs w:val="24"/>
        </w:rPr>
        <w:t>PrEP</w:t>
      </w:r>
      <w:proofErr w:type="spellEnd"/>
      <w:r w:rsidR="00F34F70" w:rsidRPr="00150E3D">
        <w:rPr>
          <w:rFonts w:ascii="Times New Roman" w:hAnsi="Times New Roman" w:cs="Times New Roman"/>
          <w:b w:val="0"/>
          <w:bCs w:val="0"/>
          <w:color w:val="000000" w:themeColor="text1"/>
          <w:sz w:val="24"/>
          <w:szCs w:val="24"/>
        </w:rPr>
        <w:t xml:space="preserve">, the estimates may be conservative. We addressed this using a causal-fraction sensitivity analysis, but causality cannot be established without </w:t>
      </w:r>
      <w:proofErr w:type="spellStart"/>
      <w:r w:rsidR="00F34F70" w:rsidRPr="00150E3D">
        <w:rPr>
          <w:rFonts w:ascii="Times New Roman" w:hAnsi="Times New Roman" w:cs="Times New Roman"/>
          <w:b w:val="0"/>
          <w:bCs w:val="0"/>
          <w:color w:val="000000" w:themeColor="text1"/>
          <w:sz w:val="24"/>
          <w:szCs w:val="24"/>
        </w:rPr>
        <w:t>randomised</w:t>
      </w:r>
      <w:proofErr w:type="spellEnd"/>
      <w:r w:rsidR="00F34F70" w:rsidRPr="00150E3D">
        <w:rPr>
          <w:rFonts w:ascii="Times New Roman" w:hAnsi="Times New Roman" w:cs="Times New Roman"/>
          <w:b w:val="0"/>
          <w:bCs w:val="0"/>
          <w:color w:val="000000" w:themeColor="text1"/>
          <w:sz w:val="24"/>
          <w:szCs w:val="24"/>
        </w:rPr>
        <w:t xml:space="preserve"> or strong quasi-experimental evidence. </w:t>
      </w:r>
      <w:r w:rsidR="00F34F70">
        <w:rPr>
          <w:rFonts w:ascii="Times New Roman" w:hAnsi="Times New Roman" w:cs="Times New Roman"/>
          <w:b w:val="0"/>
          <w:bCs w:val="0"/>
          <w:color w:val="000000" w:themeColor="text1"/>
          <w:sz w:val="24"/>
          <w:szCs w:val="24"/>
        </w:rPr>
        <w:t>The</w:t>
      </w:r>
      <w:r w:rsidR="00F34F70" w:rsidRPr="00150E3D">
        <w:rPr>
          <w:rFonts w:ascii="Times New Roman" w:hAnsi="Times New Roman" w:cs="Times New Roman"/>
          <w:b w:val="0"/>
          <w:bCs w:val="0"/>
          <w:color w:val="000000" w:themeColor="text1"/>
          <w:sz w:val="24"/>
          <w:szCs w:val="24"/>
        </w:rPr>
        <w:t xml:space="preserve"> model used a single calibrated parameter set rather than a full posterior calibration, so the reported intervals reflect stochastic simulation uncertainty under fixed assumptions rather than full parameter and structural uncertainty. </w:t>
      </w:r>
      <w:r>
        <w:rPr>
          <w:rFonts w:ascii="Times New Roman" w:hAnsi="Times New Roman" w:cs="Times New Roman"/>
          <w:b w:val="0"/>
          <w:bCs w:val="0"/>
          <w:color w:val="000000" w:themeColor="text1"/>
          <w:sz w:val="24"/>
          <w:szCs w:val="24"/>
        </w:rPr>
        <w:t>The</w:t>
      </w:r>
      <w:r w:rsidR="00F34F70" w:rsidRPr="00150E3D">
        <w:rPr>
          <w:rFonts w:ascii="Times New Roman" w:hAnsi="Times New Roman" w:cs="Times New Roman"/>
          <w:b w:val="0"/>
          <w:bCs w:val="0"/>
          <w:color w:val="000000" w:themeColor="text1"/>
          <w:sz w:val="24"/>
          <w:szCs w:val="24"/>
        </w:rPr>
        <w:t xml:space="preserve"> model simplified several features of the South African epidemic, including high-risk sexual-network cores, geographic heterogeneity, migration, and risk-correlated uptake of the chatbot. If chatbot uptake is higher among women at lower HIV risk, the projected impact would be overestimated; if uptake is higher among women at higher risk, the impact could be underestimated. </w:t>
      </w:r>
      <w:r w:rsidR="00F34F70">
        <w:rPr>
          <w:rFonts w:ascii="Times New Roman" w:hAnsi="Times New Roman" w:cs="Times New Roman"/>
          <w:b w:val="0"/>
          <w:bCs w:val="0"/>
          <w:color w:val="000000" w:themeColor="text1"/>
          <w:sz w:val="24"/>
          <w:szCs w:val="24"/>
        </w:rPr>
        <w:t>T</w:t>
      </w:r>
      <w:r w:rsidR="00F34F70" w:rsidRPr="00150E3D">
        <w:rPr>
          <w:rFonts w:ascii="Times New Roman" w:hAnsi="Times New Roman" w:cs="Times New Roman"/>
          <w:b w:val="0"/>
          <w:bCs w:val="0"/>
          <w:color w:val="000000" w:themeColor="text1"/>
          <w:sz w:val="24"/>
          <w:szCs w:val="24"/>
        </w:rPr>
        <w:t xml:space="preserve">he persistence-support scenarios were </w:t>
      </w:r>
      <w:proofErr w:type="spellStart"/>
      <w:r w:rsidR="00F34F70" w:rsidRPr="00150E3D">
        <w:rPr>
          <w:rFonts w:ascii="Times New Roman" w:hAnsi="Times New Roman" w:cs="Times New Roman"/>
          <w:b w:val="0"/>
          <w:bCs w:val="0"/>
          <w:color w:val="000000" w:themeColor="text1"/>
          <w:sz w:val="24"/>
          <w:szCs w:val="24"/>
        </w:rPr>
        <w:t>programme</w:t>
      </w:r>
      <w:proofErr w:type="spellEnd"/>
      <w:r w:rsidR="00F34F70" w:rsidRPr="00150E3D">
        <w:rPr>
          <w:rFonts w:ascii="Times New Roman" w:hAnsi="Times New Roman" w:cs="Times New Roman"/>
          <w:b w:val="0"/>
          <w:bCs w:val="0"/>
          <w:color w:val="000000" w:themeColor="text1"/>
          <w:sz w:val="24"/>
          <w:szCs w:val="24"/>
        </w:rPr>
        <w:t xml:space="preserve">-design hypotheses rather than estimates from the </w:t>
      </w:r>
      <w:r>
        <w:rPr>
          <w:rFonts w:ascii="Times New Roman" w:hAnsi="Times New Roman" w:cs="Times New Roman"/>
          <w:b w:val="0"/>
          <w:bCs w:val="0"/>
          <w:color w:val="000000" w:themeColor="text1"/>
          <w:sz w:val="24"/>
          <w:szCs w:val="24"/>
        </w:rPr>
        <w:t>Aimee</w:t>
      </w:r>
      <w:r w:rsidR="00F34F70" w:rsidRPr="00150E3D">
        <w:rPr>
          <w:rFonts w:ascii="Times New Roman" w:hAnsi="Times New Roman" w:cs="Times New Roman"/>
          <w:b w:val="0"/>
          <w:bCs w:val="0"/>
          <w:color w:val="000000" w:themeColor="text1"/>
          <w:sz w:val="24"/>
          <w:szCs w:val="24"/>
        </w:rPr>
        <w:t xml:space="preserve"> cohort. The 20%, 40%, and 60% discontinuation reductions were chosen to span a plausible range of retention improvements, but the actual effect of a chatbot on </w:t>
      </w:r>
      <w:proofErr w:type="spellStart"/>
      <w:r w:rsidR="00F34F70" w:rsidRPr="00150E3D">
        <w:rPr>
          <w:rFonts w:ascii="Times New Roman" w:hAnsi="Times New Roman" w:cs="Times New Roman"/>
          <w:b w:val="0"/>
          <w:bCs w:val="0"/>
          <w:color w:val="000000" w:themeColor="text1"/>
          <w:sz w:val="24"/>
          <w:szCs w:val="24"/>
        </w:rPr>
        <w:t>PrEP</w:t>
      </w:r>
      <w:proofErr w:type="spellEnd"/>
      <w:r w:rsidR="00F34F70" w:rsidRPr="00150E3D">
        <w:rPr>
          <w:rFonts w:ascii="Times New Roman" w:hAnsi="Times New Roman" w:cs="Times New Roman"/>
          <w:b w:val="0"/>
          <w:bCs w:val="0"/>
          <w:color w:val="000000" w:themeColor="text1"/>
          <w:sz w:val="24"/>
          <w:szCs w:val="24"/>
        </w:rPr>
        <w:t xml:space="preserve"> persistence would depend on the specific features implemented and would require empirical evaluation. Conclusions about retention support should therefore be interpreted as </w:t>
      </w:r>
      <w:proofErr w:type="spellStart"/>
      <w:r w:rsidR="00F34F70" w:rsidRPr="00150E3D">
        <w:rPr>
          <w:rFonts w:ascii="Times New Roman" w:hAnsi="Times New Roman" w:cs="Times New Roman"/>
          <w:b w:val="0"/>
          <w:bCs w:val="0"/>
          <w:color w:val="000000" w:themeColor="text1"/>
          <w:sz w:val="24"/>
          <w:szCs w:val="24"/>
        </w:rPr>
        <w:t>programme</w:t>
      </w:r>
      <w:proofErr w:type="spellEnd"/>
      <w:r w:rsidR="00F34F70" w:rsidRPr="00150E3D">
        <w:rPr>
          <w:rFonts w:ascii="Times New Roman" w:hAnsi="Times New Roman" w:cs="Times New Roman"/>
          <w:b w:val="0"/>
          <w:bCs w:val="0"/>
          <w:color w:val="000000" w:themeColor="text1"/>
          <w:sz w:val="24"/>
          <w:szCs w:val="24"/>
        </w:rPr>
        <w:t>-design hypotheses requiring prospective testing.</w:t>
      </w:r>
    </w:p>
    <w:p w14:paraId="3CAE9FAD" w14:textId="77777777" w:rsidR="00F34F70" w:rsidRDefault="00F34F70" w:rsidP="00686D04">
      <w:pPr>
        <w:pStyle w:val="Heading1"/>
        <w:spacing w:line="240" w:lineRule="auto"/>
        <w:rPr>
          <w:rFonts w:ascii="Times New Roman" w:hAnsi="Times New Roman" w:cs="Times New Roman"/>
          <w:color w:val="000000" w:themeColor="text1"/>
          <w:sz w:val="24"/>
          <w:szCs w:val="24"/>
        </w:rPr>
      </w:pPr>
      <w:r w:rsidRPr="000729B5">
        <w:rPr>
          <w:rFonts w:ascii="Times New Roman" w:hAnsi="Times New Roman" w:cs="Times New Roman"/>
          <w:color w:val="000000" w:themeColor="text1"/>
          <w:sz w:val="24"/>
          <w:szCs w:val="24"/>
        </w:rPr>
        <w:t>Conclusion</w:t>
      </w:r>
    </w:p>
    <w:p w14:paraId="1230857E" w14:textId="5FDB204C" w:rsidR="00F34F70" w:rsidRPr="00F34F70" w:rsidRDefault="00516A56" w:rsidP="00686D04">
      <w:pPr>
        <w:pStyle w:val="Heading1"/>
        <w:spacing w:before="0" w:line="240" w:lineRule="auto"/>
        <w:jc w:val="both"/>
        <w:rPr>
          <w:rFonts w:ascii="Times New Roman" w:hAnsi="Times New Roman" w:cs="Times New Roman"/>
          <w:color w:val="000000" w:themeColor="text1"/>
          <w:sz w:val="24"/>
          <w:szCs w:val="24"/>
        </w:rPr>
      </w:pPr>
      <w:r>
        <w:rPr>
          <w:rFonts w:ascii="Times New Roman" w:hAnsi="Times New Roman" w:cs="Times New Roman"/>
          <w:b w:val="0"/>
          <w:bCs w:val="0"/>
          <w:color w:val="000000" w:themeColor="text1"/>
          <w:sz w:val="24"/>
          <w:szCs w:val="24"/>
        </w:rPr>
        <w:t>An</w:t>
      </w:r>
      <w:r w:rsidR="00F34F70" w:rsidRPr="00150E3D">
        <w:rPr>
          <w:rFonts w:ascii="Times New Roman" w:hAnsi="Times New Roman" w:cs="Times New Roman"/>
          <w:b w:val="0"/>
          <w:bCs w:val="0"/>
          <w:color w:val="000000" w:themeColor="text1"/>
          <w:sz w:val="24"/>
          <w:szCs w:val="24"/>
        </w:rPr>
        <w:t xml:space="preserve"> AI health companion could plausibly contribute to HIV prevention among AGYW in South Africa if it meaningfully increases engagement with testing and </w:t>
      </w:r>
      <w:proofErr w:type="spellStart"/>
      <w:r w:rsidR="00F34F70" w:rsidRPr="00150E3D">
        <w:rPr>
          <w:rFonts w:ascii="Times New Roman" w:hAnsi="Times New Roman" w:cs="Times New Roman"/>
          <w:b w:val="0"/>
          <w:bCs w:val="0"/>
          <w:color w:val="000000" w:themeColor="text1"/>
          <w:sz w:val="24"/>
          <w:szCs w:val="24"/>
        </w:rPr>
        <w:t>PrEP</w:t>
      </w:r>
      <w:proofErr w:type="spellEnd"/>
      <w:r w:rsidR="00F34F70" w:rsidRPr="00150E3D">
        <w:rPr>
          <w:rFonts w:ascii="Times New Roman" w:hAnsi="Times New Roman" w:cs="Times New Roman"/>
          <w:b w:val="0"/>
          <w:bCs w:val="0"/>
          <w:color w:val="000000" w:themeColor="text1"/>
          <w:sz w:val="24"/>
          <w:szCs w:val="24"/>
        </w:rPr>
        <w:t xml:space="preserve"> and, critically, if that engagement translates into sustained prevention coverage. Against a no-chatbot counterfactual infection</w:t>
      </w:r>
      <w:r>
        <w:rPr>
          <w:rFonts w:ascii="Times New Roman" w:hAnsi="Times New Roman" w:cs="Times New Roman"/>
          <w:b w:val="0"/>
          <w:bCs w:val="0"/>
          <w:color w:val="000000" w:themeColor="text1"/>
          <w:sz w:val="24"/>
          <w:szCs w:val="24"/>
        </w:rPr>
        <w:t>s</w:t>
      </w:r>
      <w:r w:rsidR="00F34F70" w:rsidRPr="00150E3D">
        <w:rPr>
          <w:rFonts w:ascii="Times New Roman" w:hAnsi="Times New Roman" w:cs="Times New Roman"/>
          <w:b w:val="0"/>
          <w:bCs w:val="0"/>
          <w:color w:val="000000" w:themeColor="text1"/>
          <w:sz w:val="24"/>
          <w:szCs w:val="24"/>
        </w:rPr>
        <w:t xml:space="preserve">, the chatbot could avert </w:t>
      </w:r>
      <w:r>
        <w:rPr>
          <w:rFonts w:ascii="Times New Roman" w:hAnsi="Times New Roman" w:cs="Times New Roman"/>
          <w:b w:val="0"/>
          <w:bCs w:val="0"/>
          <w:color w:val="000000" w:themeColor="text1"/>
          <w:sz w:val="24"/>
          <w:szCs w:val="24"/>
        </w:rPr>
        <w:t xml:space="preserve">significant </w:t>
      </w:r>
      <w:proofErr w:type="gramStart"/>
      <w:r>
        <w:rPr>
          <w:rFonts w:ascii="Times New Roman" w:hAnsi="Times New Roman" w:cs="Times New Roman"/>
          <w:b w:val="0"/>
          <w:bCs w:val="0"/>
          <w:color w:val="000000" w:themeColor="text1"/>
          <w:sz w:val="24"/>
          <w:szCs w:val="24"/>
        </w:rPr>
        <w:t>amount</w:t>
      </w:r>
      <w:proofErr w:type="gramEnd"/>
      <w:r>
        <w:rPr>
          <w:rFonts w:ascii="Times New Roman" w:hAnsi="Times New Roman" w:cs="Times New Roman"/>
          <w:b w:val="0"/>
          <w:bCs w:val="0"/>
          <w:color w:val="000000" w:themeColor="text1"/>
          <w:sz w:val="24"/>
          <w:szCs w:val="24"/>
        </w:rPr>
        <w:t xml:space="preserve"> </w:t>
      </w:r>
      <w:r w:rsidR="00F34F70" w:rsidRPr="00150E3D">
        <w:rPr>
          <w:rFonts w:ascii="Times New Roman" w:hAnsi="Times New Roman" w:cs="Times New Roman"/>
          <w:b w:val="0"/>
          <w:bCs w:val="0"/>
          <w:color w:val="000000" w:themeColor="text1"/>
          <w:sz w:val="24"/>
          <w:szCs w:val="24"/>
        </w:rPr>
        <w:t xml:space="preserve">of infections at </w:t>
      </w:r>
      <w:r>
        <w:rPr>
          <w:rFonts w:ascii="Times New Roman" w:hAnsi="Times New Roman" w:cs="Times New Roman"/>
          <w:b w:val="0"/>
          <w:bCs w:val="0"/>
          <w:color w:val="000000" w:themeColor="text1"/>
          <w:sz w:val="24"/>
          <w:szCs w:val="24"/>
        </w:rPr>
        <w:t>an optimist</w:t>
      </w:r>
      <w:r w:rsidR="00F34F70" w:rsidRPr="00150E3D">
        <w:rPr>
          <w:rFonts w:ascii="Times New Roman" w:hAnsi="Times New Roman" w:cs="Times New Roman"/>
          <w:b w:val="0"/>
          <w:bCs w:val="0"/>
          <w:color w:val="000000" w:themeColor="text1"/>
          <w:sz w:val="24"/>
          <w:szCs w:val="24"/>
        </w:rPr>
        <w:t xml:space="preserve"> reach, with eight of nine scenarios statistically significant. The main programmatic implication is that digital prevention tools should not be designed only to generate demand. They should also support persistence, restarting, and navigation to longer-acting prevention options. The secondary analysis demonstrated that persistence support alone nearly matched the impact of demand generation despite a threefold difference in </w:t>
      </w:r>
      <w:proofErr w:type="spellStart"/>
      <w:r w:rsidR="00F34F70" w:rsidRPr="00150E3D">
        <w:rPr>
          <w:rFonts w:ascii="Times New Roman" w:hAnsi="Times New Roman" w:cs="Times New Roman"/>
          <w:b w:val="0"/>
          <w:bCs w:val="0"/>
          <w:color w:val="000000" w:themeColor="text1"/>
          <w:sz w:val="24"/>
          <w:szCs w:val="24"/>
        </w:rPr>
        <w:t>PrEP</w:t>
      </w:r>
      <w:proofErr w:type="spellEnd"/>
      <w:r w:rsidR="00F34F70" w:rsidRPr="00150E3D">
        <w:rPr>
          <w:rFonts w:ascii="Times New Roman" w:hAnsi="Times New Roman" w:cs="Times New Roman"/>
          <w:b w:val="0"/>
          <w:bCs w:val="0"/>
          <w:color w:val="000000" w:themeColor="text1"/>
          <w:sz w:val="24"/>
          <w:szCs w:val="24"/>
        </w:rPr>
        <w:t xml:space="preserve"> coverage, and that combining both strategies produced super-additive effects, suggesting complementarity between expanding the number of protected women and increasing the time they remain protected. Prospective evaluations should therefore measure not only HIV testing and </w:t>
      </w:r>
      <w:proofErr w:type="spellStart"/>
      <w:r w:rsidR="00F34F70" w:rsidRPr="00150E3D">
        <w:rPr>
          <w:rFonts w:ascii="Times New Roman" w:hAnsi="Times New Roman" w:cs="Times New Roman"/>
          <w:b w:val="0"/>
          <w:bCs w:val="0"/>
          <w:color w:val="000000" w:themeColor="text1"/>
          <w:sz w:val="24"/>
          <w:szCs w:val="24"/>
        </w:rPr>
        <w:t>PrEP</w:t>
      </w:r>
      <w:proofErr w:type="spellEnd"/>
      <w:r w:rsidR="00F34F70" w:rsidRPr="00150E3D">
        <w:rPr>
          <w:rFonts w:ascii="Times New Roman" w:hAnsi="Times New Roman" w:cs="Times New Roman"/>
          <w:b w:val="0"/>
          <w:bCs w:val="0"/>
          <w:color w:val="000000" w:themeColor="text1"/>
          <w:sz w:val="24"/>
          <w:szCs w:val="24"/>
        </w:rPr>
        <w:t xml:space="preserve"> initiation, but also </w:t>
      </w:r>
      <w:proofErr w:type="spellStart"/>
      <w:r w:rsidR="00F34F70" w:rsidRPr="00150E3D">
        <w:rPr>
          <w:rFonts w:ascii="Times New Roman" w:hAnsi="Times New Roman" w:cs="Times New Roman"/>
          <w:b w:val="0"/>
          <w:bCs w:val="0"/>
          <w:color w:val="000000" w:themeColor="text1"/>
          <w:sz w:val="24"/>
          <w:szCs w:val="24"/>
        </w:rPr>
        <w:t>PrEP</w:t>
      </w:r>
      <w:proofErr w:type="spellEnd"/>
      <w:r w:rsidR="00F34F70" w:rsidRPr="00150E3D">
        <w:rPr>
          <w:rFonts w:ascii="Times New Roman" w:hAnsi="Times New Roman" w:cs="Times New Roman"/>
          <w:b w:val="0"/>
          <w:bCs w:val="0"/>
          <w:color w:val="000000" w:themeColor="text1"/>
          <w:sz w:val="24"/>
          <w:szCs w:val="24"/>
        </w:rPr>
        <w:t xml:space="preserve"> continuation, re-initiation, effective coverage during periods of risk, and ultimately HIV incidence.</w:t>
      </w:r>
    </w:p>
    <w:p w14:paraId="0954619B" w14:textId="77777777" w:rsidR="00F34F70" w:rsidRDefault="00F34F70" w:rsidP="00686D04">
      <w:pPr>
        <w:pStyle w:val="Heading1"/>
        <w:spacing w:line="240" w:lineRule="auto"/>
        <w:rPr>
          <w:rFonts w:ascii="Times New Roman" w:hAnsi="Times New Roman" w:cs="Times New Roman"/>
          <w:b w:val="0"/>
          <w:bCs w:val="0"/>
          <w:color w:val="000000" w:themeColor="text1"/>
          <w:sz w:val="24"/>
          <w:szCs w:val="24"/>
        </w:rPr>
      </w:pPr>
    </w:p>
    <w:p w14:paraId="053138A6" w14:textId="77777777" w:rsidR="00F34F70" w:rsidRDefault="00F34F70" w:rsidP="00686D04">
      <w:pPr>
        <w:spacing w:after="0" w:line="240" w:lineRule="auto"/>
      </w:pPr>
    </w:p>
    <w:p w14:paraId="4C56FAC4" w14:textId="77777777" w:rsidR="00F34F70" w:rsidRPr="00AA62CE" w:rsidRDefault="00F34F70" w:rsidP="00686D04">
      <w:pPr>
        <w:spacing w:after="0" w:line="240" w:lineRule="auto"/>
      </w:pPr>
    </w:p>
    <w:p w14:paraId="206432F8" w14:textId="7707E68A" w:rsidR="006E58AE" w:rsidRDefault="006E58AE" w:rsidP="00686D04">
      <w:pPr>
        <w:spacing w:after="0" w:line="240" w:lineRule="auto"/>
        <w:rPr>
          <w:rFonts w:ascii="Times New Roman" w:hAnsi="Times New Roman" w:cs="Times New Roman"/>
          <w:color w:val="000000" w:themeColor="text1"/>
          <w:sz w:val="24"/>
          <w:szCs w:val="24"/>
        </w:rPr>
      </w:pPr>
    </w:p>
    <w:p w14:paraId="58E3CFBB" w14:textId="77777777" w:rsidR="00516A56" w:rsidRDefault="00516A56" w:rsidP="00686D04">
      <w:pPr>
        <w:spacing w:after="0" w:line="240" w:lineRule="auto"/>
        <w:rPr>
          <w:rFonts w:ascii="Times New Roman" w:hAnsi="Times New Roman" w:cs="Times New Roman"/>
          <w:color w:val="000000" w:themeColor="text1"/>
          <w:sz w:val="24"/>
          <w:szCs w:val="24"/>
        </w:rPr>
      </w:pPr>
    </w:p>
    <w:p w14:paraId="5DC204A8" w14:textId="75360555" w:rsidR="00516A56" w:rsidRPr="0053251A" w:rsidRDefault="0053251A" w:rsidP="00686D04">
      <w:pPr>
        <w:spacing w:after="0" w:line="240" w:lineRule="auto"/>
        <w:rPr>
          <w:rFonts w:ascii="Times New Roman" w:hAnsi="Times New Roman" w:cs="Times New Roman"/>
          <w:b/>
          <w:bCs/>
          <w:color w:val="000000" w:themeColor="text1"/>
          <w:sz w:val="24"/>
          <w:szCs w:val="24"/>
        </w:rPr>
      </w:pPr>
      <w:r w:rsidRPr="0053251A">
        <w:rPr>
          <w:rFonts w:ascii="Times New Roman" w:hAnsi="Times New Roman" w:cs="Times New Roman"/>
          <w:b/>
          <w:bCs/>
          <w:color w:val="000000" w:themeColor="text1"/>
          <w:sz w:val="24"/>
          <w:szCs w:val="24"/>
        </w:rPr>
        <w:lastRenderedPageBreak/>
        <w:t>Refences</w:t>
      </w:r>
    </w:p>
    <w:p w14:paraId="6E91B356" w14:textId="77777777" w:rsidR="0053251A" w:rsidRPr="0053251A" w:rsidRDefault="0053251A" w:rsidP="00686D04">
      <w:pPr>
        <w:spacing w:after="0" w:line="240" w:lineRule="auto"/>
        <w:rPr>
          <w:rFonts w:ascii="Times New Roman" w:hAnsi="Times New Roman" w:cs="Times New Roman"/>
          <w:color w:val="000000" w:themeColor="text1"/>
          <w:sz w:val="24"/>
          <w:szCs w:val="24"/>
        </w:rPr>
      </w:pPr>
    </w:p>
    <w:p w14:paraId="7A1A9D2E"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1. UNAIDS. HIV and adolescent girls and young women. Geneva: Joint United Nations </w:t>
      </w:r>
      <w:proofErr w:type="spellStart"/>
      <w:r w:rsidRPr="0053251A">
        <w:rPr>
          <w:rFonts w:ascii="Times New Roman" w:hAnsi="Times New Roman" w:cs="Times New Roman"/>
          <w:sz w:val="24"/>
          <w:szCs w:val="24"/>
        </w:rPr>
        <w:t>Programme</w:t>
      </w:r>
      <w:proofErr w:type="spellEnd"/>
      <w:r w:rsidRPr="0053251A">
        <w:rPr>
          <w:rFonts w:ascii="Times New Roman" w:hAnsi="Times New Roman" w:cs="Times New Roman"/>
          <w:sz w:val="24"/>
          <w:szCs w:val="24"/>
        </w:rPr>
        <w:t xml:space="preserve"> on HIV/AIDS; 2024.</w:t>
      </w:r>
    </w:p>
    <w:p w14:paraId="6A0CD94E"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2. Human Sciences Research Council. The Sixth South African National HIV Prevalence, Incidence, and </w:t>
      </w:r>
      <w:proofErr w:type="spellStart"/>
      <w:r w:rsidRPr="0053251A">
        <w:rPr>
          <w:rFonts w:ascii="Times New Roman" w:hAnsi="Times New Roman" w:cs="Times New Roman"/>
          <w:sz w:val="24"/>
          <w:szCs w:val="24"/>
        </w:rPr>
        <w:t>Behaviour</w:t>
      </w:r>
      <w:proofErr w:type="spellEnd"/>
      <w:r w:rsidRPr="0053251A">
        <w:rPr>
          <w:rFonts w:ascii="Times New Roman" w:hAnsi="Times New Roman" w:cs="Times New Roman"/>
          <w:sz w:val="24"/>
          <w:szCs w:val="24"/>
        </w:rPr>
        <w:t xml:space="preserve"> Survey, 2022. Cape Town: HSRC; 2023.</w:t>
      </w:r>
    </w:p>
    <w:p w14:paraId="09F97F3F"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3. Johnson LF, Dorrington RE. </w:t>
      </w:r>
      <w:proofErr w:type="spellStart"/>
      <w:r w:rsidRPr="0053251A">
        <w:rPr>
          <w:rFonts w:ascii="Times New Roman" w:hAnsi="Times New Roman" w:cs="Times New Roman"/>
          <w:sz w:val="24"/>
          <w:szCs w:val="24"/>
        </w:rPr>
        <w:t>Thembisa</w:t>
      </w:r>
      <w:proofErr w:type="spellEnd"/>
      <w:r w:rsidRPr="0053251A">
        <w:rPr>
          <w:rFonts w:ascii="Times New Roman" w:hAnsi="Times New Roman" w:cs="Times New Roman"/>
          <w:sz w:val="24"/>
          <w:szCs w:val="24"/>
        </w:rPr>
        <w:t xml:space="preserve"> version 5.0: a model for evaluating the impact of HIV/AIDS in South Africa. Cape Town: Centre for Infectious Disease Epidemiology and Research, University of Cape Town; 2023.</w:t>
      </w:r>
    </w:p>
    <w:p w14:paraId="43935BAB"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4. Maughan-Brown B, Evans M, George G. Sexual </w:t>
      </w:r>
      <w:proofErr w:type="spellStart"/>
      <w:r w:rsidRPr="0053251A">
        <w:rPr>
          <w:rFonts w:ascii="Times New Roman" w:hAnsi="Times New Roman" w:cs="Times New Roman"/>
          <w:sz w:val="24"/>
          <w:szCs w:val="24"/>
        </w:rPr>
        <w:t>behaviour</w:t>
      </w:r>
      <w:proofErr w:type="spellEnd"/>
      <w:r w:rsidRPr="0053251A">
        <w:rPr>
          <w:rFonts w:ascii="Times New Roman" w:hAnsi="Times New Roman" w:cs="Times New Roman"/>
          <w:sz w:val="24"/>
          <w:szCs w:val="24"/>
        </w:rPr>
        <w:t xml:space="preserve"> of men and women within age-disparate partnerships in South Africa: implications for young women's HIV risk. </w:t>
      </w:r>
      <w:proofErr w:type="spellStart"/>
      <w:r w:rsidRPr="0053251A">
        <w:rPr>
          <w:rFonts w:ascii="Times New Roman" w:hAnsi="Times New Roman" w:cs="Times New Roman"/>
          <w:sz w:val="24"/>
          <w:szCs w:val="24"/>
        </w:rPr>
        <w:t>PLoS</w:t>
      </w:r>
      <w:proofErr w:type="spellEnd"/>
      <w:r w:rsidRPr="0053251A">
        <w:rPr>
          <w:rFonts w:ascii="Times New Roman" w:hAnsi="Times New Roman" w:cs="Times New Roman"/>
          <w:sz w:val="24"/>
          <w:szCs w:val="24"/>
        </w:rPr>
        <w:t xml:space="preserve"> One. 2016;11(8</w:t>
      </w:r>
      <w:proofErr w:type="gramStart"/>
      <w:r w:rsidRPr="0053251A">
        <w:rPr>
          <w:rFonts w:ascii="Times New Roman" w:hAnsi="Times New Roman" w:cs="Times New Roman"/>
          <w:sz w:val="24"/>
          <w:szCs w:val="24"/>
        </w:rPr>
        <w:t>):e</w:t>
      </w:r>
      <w:proofErr w:type="gramEnd"/>
      <w:r w:rsidRPr="0053251A">
        <w:rPr>
          <w:rFonts w:ascii="Times New Roman" w:hAnsi="Times New Roman" w:cs="Times New Roman"/>
          <w:sz w:val="24"/>
          <w:szCs w:val="24"/>
        </w:rPr>
        <w:t>0159162.</w:t>
      </w:r>
    </w:p>
    <w:p w14:paraId="0730896A"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5. Stoner MCD, Edwards JK, Miller WC, et al. Effect of age-disparate partnerships on incident HIV infection among young women in South Africa: a cohort study. J </w:t>
      </w:r>
      <w:proofErr w:type="spellStart"/>
      <w:r w:rsidRPr="0053251A">
        <w:rPr>
          <w:rFonts w:ascii="Times New Roman" w:hAnsi="Times New Roman" w:cs="Times New Roman"/>
          <w:sz w:val="24"/>
          <w:szCs w:val="24"/>
        </w:rPr>
        <w:t>Acquir</w:t>
      </w:r>
      <w:proofErr w:type="spellEnd"/>
      <w:r w:rsidRPr="0053251A">
        <w:rPr>
          <w:rFonts w:ascii="Times New Roman" w:hAnsi="Times New Roman" w:cs="Times New Roman"/>
          <w:sz w:val="24"/>
          <w:szCs w:val="24"/>
        </w:rPr>
        <w:t xml:space="preserve"> Immune </w:t>
      </w:r>
      <w:proofErr w:type="spellStart"/>
      <w:r w:rsidRPr="0053251A">
        <w:rPr>
          <w:rFonts w:ascii="Times New Roman" w:hAnsi="Times New Roman" w:cs="Times New Roman"/>
          <w:sz w:val="24"/>
          <w:szCs w:val="24"/>
        </w:rPr>
        <w:t>Defic</w:t>
      </w:r>
      <w:proofErr w:type="spellEnd"/>
      <w:r w:rsidRPr="0053251A">
        <w:rPr>
          <w:rFonts w:ascii="Times New Roman" w:hAnsi="Times New Roman" w:cs="Times New Roman"/>
          <w:sz w:val="24"/>
          <w:szCs w:val="24"/>
        </w:rPr>
        <w:t xml:space="preserve"> Syndr. 2019;80(5):557-563.</w:t>
      </w:r>
    </w:p>
    <w:p w14:paraId="6C145643"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6. Morris M, Kretzschmar M. Concurrent partnerships and transmission dynamics in networks. Soc Networks. 1995;17(3-4):299-318.</w:t>
      </w:r>
    </w:p>
    <w:p w14:paraId="633E2F5D"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7. UNAIDS. HIV prevention among adolescent girls and young women. Geneva: Joint United Nations </w:t>
      </w:r>
      <w:proofErr w:type="spellStart"/>
      <w:r w:rsidRPr="0053251A">
        <w:rPr>
          <w:rFonts w:ascii="Times New Roman" w:hAnsi="Times New Roman" w:cs="Times New Roman"/>
          <w:sz w:val="24"/>
          <w:szCs w:val="24"/>
        </w:rPr>
        <w:t>Programme</w:t>
      </w:r>
      <w:proofErr w:type="spellEnd"/>
      <w:r w:rsidRPr="0053251A">
        <w:rPr>
          <w:rFonts w:ascii="Times New Roman" w:hAnsi="Times New Roman" w:cs="Times New Roman"/>
          <w:sz w:val="24"/>
          <w:szCs w:val="24"/>
        </w:rPr>
        <w:t xml:space="preserve"> on HIV/AIDS; 2016.</w:t>
      </w:r>
    </w:p>
    <w:p w14:paraId="63ABF9B2"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8. Mathews C, Lombard C, Puren A, et al. HIV care coverage among HIV-positive adolescent girls and young women in South Africa. S </w:t>
      </w:r>
      <w:proofErr w:type="spellStart"/>
      <w:r w:rsidRPr="0053251A">
        <w:rPr>
          <w:rFonts w:ascii="Times New Roman" w:hAnsi="Times New Roman" w:cs="Times New Roman"/>
          <w:sz w:val="24"/>
          <w:szCs w:val="24"/>
        </w:rPr>
        <w:t>Afr</w:t>
      </w:r>
      <w:proofErr w:type="spellEnd"/>
      <w:r w:rsidRPr="0053251A">
        <w:rPr>
          <w:rFonts w:ascii="Times New Roman" w:hAnsi="Times New Roman" w:cs="Times New Roman"/>
          <w:sz w:val="24"/>
          <w:szCs w:val="24"/>
        </w:rPr>
        <w:t xml:space="preserve"> Med J. 2021;111(12):1198-1205.</w:t>
      </w:r>
    </w:p>
    <w:p w14:paraId="5797059E"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9. Haghighat R, Toska E, </w:t>
      </w:r>
      <w:proofErr w:type="spellStart"/>
      <w:r w:rsidRPr="0053251A">
        <w:rPr>
          <w:rFonts w:ascii="Times New Roman" w:hAnsi="Times New Roman" w:cs="Times New Roman"/>
          <w:sz w:val="24"/>
          <w:szCs w:val="24"/>
        </w:rPr>
        <w:t>Bungane</w:t>
      </w:r>
      <w:proofErr w:type="spellEnd"/>
      <w:r w:rsidRPr="0053251A">
        <w:rPr>
          <w:rFonts w:ascii="Times New Roman" w:hAnsi="Times New Roman" w:cs="Times New Roman"/>
          <w:sz w:val="24"/>
          <w:szCs w:val="24"/>
        </w:rPr>
        <w:t xml:space="preserve"> N, Cluver L. The HIV care cascade for adolescents initiated on antiretroviral therapy in South Africa: a systematic review and meta-analysis. AIDS </w:t>
      </w:r>
      <w:proofErr w:type="spellStart"/>
      <w:r w:rsidRPr="0053251A">
        <w:rPr>
          <w:rFonts w:ascii="Times New Roman" w:hAnsi="Times New Roman" w:cs="Times New Roman"/>
          <w:sz w:val="24"/>
          <w:szCs w:val="24"/>
        </w:rPr>
        <w:t>Behav</w:t>
      </w:r>
      <w:proofErr w:type="spellEnd"/>
      <w:r w:rsidRPr="0053251A">
        <w:rPr>
          <w:rFonts w:ascii="Times New Roman" w:hAnsi="Times New Roman" w:cs="Times New Roman"/>
          <w:sz w:val="24"/>
          <w:szCs w:val="24"/>
        </w:rPr>
        <w:t>. 2021;25(8):2591-2604.</w:t>
      </w:r>
    </w:p>
    <w:p w14:paraId="57BF6413"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10. </w:t>
      </w:r>
      <w:proofErr w:type="spellStart"/>
      <w:r w:rsidRPr="0053251A">
        <w:rPr>
          <w:rFonts w:ascii="Times New Roman" w:hAnsi="Times New Roman" w:cs="Times New Roman"/>
          <w:sz w:val="24"/>
          <w:szCs w:val="24"/>
        </w:rPr>
        <w:t>PrEPWatch</w:t>
      </w:r>
      <w:proofErr w:type="spellEnd"/>
      <w:r w:rsidRPr="0053251A">
        <w:rPr>
          <w:rFonts w:ascii="Times New Roman" w:hAnsi="Times New Roman" w:cs="Times New Roman"/>
          <w:sz w:val="24"/>
          <w:szCs w:val="24"/>
        </w:rPr>
        <w:t>. Pre-exposure prophylaxis and adolescent girls and young women in Eastern and Southern Africa: the latest insights. New York: AVAC; 2024.</w:t>
      </w:r>
    </w:p>
    <w:p w14:paraId="646F1966"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11. Grant RM, Lama JR, Anderson PL, et al. Preexposure chemoprophylaxis for HIV prevention in men who have sex with men. N Engl J Med. 2010;363(27):2587-2599.</w:t>
      </w:r>
    </w:p>
    <w:p w14:paraId="152E387F"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12. World Health Organization. Consolidated guidelines on HIV prevention, testing, treatment, service delivery and monitoring: recommendations for a public health approach. Geneva: WHO; 2021.</w:t>
      </w:r>
    </w:p>
    <w:p w14:paraId="293A1CD5"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13. </w:t>
      </w:r>
      <w:proofErr w:type="spellStart"/>
      <w:r w:rsidRPr="0053251A">
        <w:rPr>
          <w:rFonts w:ascii="Times New Roman" w:hAnsi="Times New Roman" w:cs="Times New Roman"/>
          <w:sz w:val="24"/>
          <w:szCs w:val="24"/>
        </w:rPr>
        <w:t>Velloza</w:t>
      </w:r>
      <w:proofErr w:type="spellEnd"/>
      <w:r w:rsidRPr="0053251A">
        <w:rPr>
          <w:rFonts w:ascii="Times New Roman" w:hAnsi="Times New Roman" w:cs="Times New Roman"/>
          <w:sz w:val="24"/>
          <w:szCs w:val="24"/>
        </w:rPr>
        <w:t xml:space="preserve"> J, Khoza N, Scorgie F, et al. Alignment of </w:t>
      </w:r>
      <w:proofErr w:type="spellStart"/>
      <w:r w:rsidRPr="0053251A">
        <w:rPr>
          <w:rFonts w:ascii="Times New Roman" w:hAnsi="Times New Roman" w:cs="Times New Roman"/>
          <w:sz w:val="24"/>
          <w:szCs w:val="24"/>
        </w:rPr>
        <w:t>PrEP</w:t>
      </w:r>
      <w:proofErr w:type="spellEnd"/>
      <w:r w:rsidRPr="0053251A">
        <w:rPr>
          <w:rFonts w:ascii="Times New Roman" w:hAnsi="Times New Roman" w:cs="Times New Roman"/>
          <w:sz w:val="24"/>
          <w:szCs w:val="24"/>
        </w:rPr>
        <w:t xml:space="preserve"> adherence with periods of HIV risk among adolescent girls and young women in South Africa and Zimbabwe: a secondary analysis of HPTN 082. J Int AIDS Soc. 2022;25(10</w:t>
      </w:r>
      <w:proofErr w:type="gramStart"/>
      <w:r w:rsidRPr="0053251A">
        <w:rPr>
          <w:rFonts w:ascii="Times New Roman" w:hAnsi="Times New Roman" w:cs="Times New Roman"/>
          <w:sz w:val="24"/>
          <w:szCs w:val="24"/>
        </w:rPr>
        <w:t>):e</w:t>
      </w:r>
      <w:proofErr w:type="gramEnd"/>
      <w:r w:rsidRPr="0053251A">
        <w:rPr>
          <w:rFonts w:ascii="Times New Roman" w:hAnsi="Times New Roman" w:cs="Times New Roman"/>
          <w:sz w:val="24"/>
          <w:szCs w:val="24"/>
        </w:rPr>
        <w:t>26008.</w:t>
      </w:r>
    </w:p>
    <w:p w14:paraId="3570CFCD"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14. Beesham I, Heffron R, Evans S, et al. Daily oral pre-exposure prophylaxis continuation among women from Durban, South Africa, who initiated </w:t>
      </w:r>
      <w:proofErr w:type="spellStart"/>
      <w:r w:rsidRPr="0053251A">
        <w:rPr>
          <w:rFonts w:ascii="Times New Roman" w:hAnsi="Times New Roman" w:cs="Times New Roman"/>
          <w:sz w:val="24"/>
          <w:szCs w:val="24"/>
        </w:rPr>
        <w:t>PrEP</w:t>
      </w:r>
      <w:proofErr w:type="spellEnd"/>
      <w:r w:rsidRPr="0053251A">
        <w:rPr>
          <w:rFonts w:ascii="Times New Roman" w:hAnsi="Times New Roman" w:cs="Times New Roman"/>
          <w:sz w:val="24"/>
          <w:szCs w:val="24"/>
        </w:rPr>
        <w:t xml:space="preserve"> as standard of care for HIV prevention in a clinical trial. AIDS </w:t>
      </w:r>
      <w:proofErr w:type="spellStart"/>
      <w:r w:rsidRPr="0053251A">
        <w:rPr>
          <w:rFonts w:ascii="Times New Roman" w:hAnsi="Times New Roman" w:cs="Times New Roman"/>
          <w:sz w:val="24"/>
          <w:szCs w:val="24"/>
        </w:rPr>
        <w:t>Behav</w:t>
      </w:r>
      <w:proofErr w:type="spellEnd"/>
      <w:r w:rsidRPr="0053251A">
        <w:rPr>
          <w:rFonts w:ascii="Times New Roman" w:hAnsi="Times New Roman" w:cs="Times New Roman"/>
          <w:sz w:val="24"/>
          <w:szCs w:val="24"/>
        </w:rPr>
        <w:t>. 2022;26(6):1925-1936.</w:t>
      </w:r>
    </w:p>
    <w:p w14:paraId="43E0BCB2"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15. World Health Organization. WHO guideline: recommendations on digital interventions for health system strengthening. Geneva: WHO; 2019.</w:t>
      </w:r>
    </w:p>
    <w:p w14:paraId="1FB3CE9C"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 xml:space="preserve">16. Fischer AE, Haberer JE, </w:t>
      </w:r>
      <w:proofErr w:type="spellStart"/>
      <w:r w:rsidRPr="0053251A">
        <w:rPr>
          <w:rFonts w:ascii="Times New Roman" w:hAnsi="Times New Roman" w:cs="Times New Roman"/>
          <w:sz w:val="24"/>
          <w:szCs w:val="24"/>
        </w:rPr>
        <w:t>Celum</w:t>
      </w:r>
      <w:proofErr w:type="spellEnd"/>
      <w:r w:rsidRPr="0053251A">
        <w:rPr>
          <w:rFonts w:ascii="Times New Roman" w:hAnsi="Times New Roman" w:cs="Times New Roman"/>
          <w:sz w:val="24"/>
          <w:szCs w:val="24"/>
        </w:rPr>
        <w:t xml:space="preserve"> C, et al. Mobile health intervention tools promoting HIV pre-exposure prophylaxis use among adolescent girls and young women in sub-Saharan Africa: scoping review. JMIR </w:t>
      </w:r>
      <w:proofErr w:type="spellStart"/>
      <w:r w:rsidRPr="0053251A">
        <w:rPr>
          <w:rFonts w:ascii="Times New Roman" w:hAnsi="Times New Roman" w:cs="Times New Roman"/>
          <w:sz w:val="24"/>
          <w:szCs w:val="24"/>
        </w:rPr>
        <w:t>Mhealth</w:t>
      </w:r>
      <w:proofErr w:type="spellEnd"/>
      <w:r w:rsidRPr="0053251A">
        <w:rPr>
          <w:rFonts w:ascii="Times New Roman" w:hAnsi="Times New Roman" w:cs="Times New Roman"/>
          <w:sz w:val="24"/>
          <w:szCs w:val="24"/>
        </w:rPr>
        <w:t xml:space="preserve"> </w:t>
      </w:r>
      <w:proofErr w:type="spellStart"/>
      <w:r w:rsidRPr="0053251A">
        <w:rPr>
          <w:rFonts w:ascii="Times New Roman" w:hAnsi="Times New Roman" w:cs="Times New Roman"/>
          <w:sz w:val="24"/>
          <w:szCs w:val="24"/>
        </w:rPr>
        <w:t>Uhealth</w:t>
      </w:r>
      <w:proofErr w:type="spellEnd"/>
      <w:r w:rsidRPr="0053251A">
        <w:rPr>
          <w:rFonts w:ascii="Times New Roman" w:hAnsi="Times New Roman" w:cs="Times New Roman"/>
          <w:sz w:val="24"/>
          <w:szCs w:val="24"/>
        </w:rPr>
        <w:t>. 2025;</w:t>
      </w:r>
      <w:proofErr w:type="gramStart"/>
      <w:r w:rsidRPr="0053251A">
        <w:rPr>
          <w:rFonts w:ascii="Times New Roman" w:hAnsi="Times New Roman" w:cs="Times New Roman"/>
          <w:sz w:val="24"/>
          <w:szCs w:val="24"/>
        </w:rPr>
        <w:t>13:e</w:t>
      </w:r>
      <w:proofErr w:type="gramEnd"/>
      <w:r w:rsidRPr="0053251A">
        <w:rPr>
          <w:rFonts w:ascii="Times New Roman" w:hAnsi="Times New Roman" w:cs="Times New Roman"/>
          <w:sz w:val="24"/>
          <w:szCs w:val="24"/>
        </w:rPr>
        <w:t>60819.</w:t>
      </w:r>
    </w:p>
    <w:p w14:paraId="5009F742"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17. Aimee AI health companion field study, South Africa. Unpublished data; 2025.</w:t>
      </w:r>
    </w:p>
    <w:p w14:paraId="295F8ED9"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lastRenderedPageBreak/>
        <w:t>18.</w:t>
      </w:r>
      <w:r w:rsidRPr="0053251A">
        <w:rPr>
          <w:rFonts w:ascii="Times New Roman" w:eastAsia="Times New Roman" w:hAnsi="Times New Roman" w:cs="Times New Roman"/>
          <w:sz w:val="24"/>
          <w:szCs w:val="24"/>
          <w:lang w:val="en-GB" w:eastAsia="en-GB"/>
        </w:rPr>
        <w:t xml:space="preserve"> </w:t>
      </w:r>
      <w:r w:rsidRPr="009D2DD3">
        <w:rPr>
          <w:rFonts w:ascii="Times New Roman" w:eastAsia="Times New Roman" w:hAnsi="Times New Roman" w:cs="Times New Roman"/>
          <w:sz w:val="24"/>
          <w:szCs w:val="24"/>
          <w:lang w:val="en-GB" w:eastAsia="en-GB"/>
        </w:rPr>
        <w:t xml:space="preserve">Jenness SM, Goodreau SM, Morris M. </w:t>
      </w:r>
      <w:proofErr w:type="spellStart"/>
      <w:r w:rsidRPr="009D2DD3">
        <w:rPr>
          <w:rFonts w:ascii="Times New Roman" w:eastAsia="Times New Roman" w:hAnsi="Times New Roman" w:cs="Times New Roman"/>
          <w:sz w:val="24"/>
          <w:szCs w:val="24"/>
          <w:lang w:val="en-GB" w:eastAsia="en-GB"/>
        </w:rPr>
        <w:t>EpiModel</w:t>
      </w:r>
      <w:proofErr w:type="spellEnd"/>
      <w:r w:rsidRPr="009D2DD3">
        <w:rPr>
          <w:rFonts w:ascii="Times New Roman" w:eastAsia="Times New Roman" w:hAnsi="Times New Roman" w:cs="Times New Roman"/>
          <w:sz w:val="24"/>
          <w:szCs w:val="24"/>
          <w:lang w:val="en-GB" w:eastAsia="en-GB"/>
        </w:rPr>
        <w:t xml:space="preserve">: an R package for mathematical </w:t>
      </w:r>
      <w:proofErr w:type="spellStart"/>
      <w:r w:rsidRPr="009D2DD3">
        <w:rPr>
          <w:rFonts w:ascii="Times New Roman" w:eastAsia="Times New Roman" w:hAnsi="Times New Roman" w:cs="Times New Roman"/>
          <w:sz w:val="24"/>
          <w:szCs w:val="24"/>
          <w:lang w:val="en-GB" w:eastAsia="en-GB"/>
        </w:rPr>
        <w:t>modeling</w:t>
      </w:r>
      <w:proofErr w:type="spellEnd"/>
      <w:r w:rsidRPr="009D2DD3">
        <w:rPr>
          <w:rFonts w:ascii="Times New Roman" w:eastAsia="Times New Roman" w:hAnsi="Times New Roman" w:cs="Times New Roman"/>
          <w:sz w:val="24"/>
          <w:szCs w:val="24"/>
          <w:lang w:val="en-GB" w:eastAsia="en-GB"/>
        </w:rPr>
        <w:t xml:space="preserve"> of infectious disease over networks. J Stat </w:t>
      </w:r>
      <w:proofErr w:type="spellStart"/>
      <w:r w:rsidRPr="009D2DD3">
        <w:rPr>
          <w:rFonts w:ascii="Times New Roman" w:eastAsia="Times New Roman" w:hAnsi="Times New Roman" w:cs="Times New Roman"/>
          <w:sz w:val="24"/>
          <w:szCs w:val="24"/>
          <w:lang w:val="en-GB" w:eastAsia="en-GB"/>
        </w:rPr>
        <w:t>Softw</w:t>
      </w:r>
      <w:proofErr w:type="spellEnd"/>
      <w:r w:rsidRPr="009D2DD3">
        <w:rPr>
          <w:rFonts w:ascii="Times New Roman" w:eastAsia="Times New Roman" w:hAnsi="Times New Roman" w:cs="Times New Roman"/>
          <w:sz w:val="24"/>
          <w:szCs w:val="24"/>
          <w:lang w:val="en-GB" w:eastAsia="en-GB"/>
        </w:rPr>
        <w:t xml:space="preserve">. 2018;84(8):1–47. </w:t>
      </w:r>
    </w:p>
    <w:p w14:paraId="51F7D593"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19.</w:t>
      </w:r>
      <w:r w:rsidRPr="0053251A">
        <w:rPr>
          <w:rFonts w:ascii="Times New Roman" w:eastAsia="Times New Roman" w:hAnsi="Times New Roman" w:cs="Times New Roman"/>
          <w:sz w:val="24"/>
          <w:szCs w:val="24"/>
          <w:lang w:val="en-GB" w:eastAsia="en-GB"/>
        </w:rPr>
        <w:t xml:space="preserve"> </w:t>
      </w:r>
      <w:r w:rsidRPr="009D2DD3">
        <w:rPr>
          <w:rFonts w:ascii="Times New Roman" w:eastAsia="Times New Roman" w:hAnsi="Times New Roman" w:cs="Times New Roman"/>
          <w:sz w:val="24"/>
          <w:szCs w:val="24"/>
          <w:lang w:val="en-GB" w:eastAsia="en-GB"/>
        </w:rPr>
        <w:t xml:space="preserve">Krivitsky PN, Handcock MS. A separable model for dynamic networks. J R Stat Soc Series B Stat </w:t>
      </w:r>
      <w:proofErr w:type="spellStart"/>
      <w:r w:rsidRPr="009D2DD3">
        <w:rPr>
          <w:rFonts w:ascii="Times New Roman" w:eastAsia="Times New Roman" w:hAnsi="Times New Roman" w:cs="Times New Roman"/>
          <w:sz w:val="24"/>
          <w:szCs w:val="24"/>
          <w:lang w:val="en-GB" w:eastAsia="en-GB"/>
        </w:rPr>
        <w:t>Methodol</w:t>
      </w:r>
      <w:proofErr w:type="spellEnd"/>
      <w:r w:rsidRPr="009D2DD3">
        <w:rPr>
          <w:rFonts w:ascii="Times New Roman" w:eastAsia="Times New Roman" w:hAnsi="Times New Roman" w:cs="Times New Roman"/>
          <w:sz w:val="24"/>
          <w:szCs w:val="24"/>
          <w:lang w:val="en-GB" w:eastAsia="en-GB"/>
        </w:rPr>
        <w:t xml:space="preserve">. 2014;76(1):29–46. </w:t>
      </w:r>
    </w:p>
    <w:p w14:paraId="2BC951D4"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20.</w:t>
      </w:r>
      <w:r w:rsidRPr="0053251A">
        <w:rPr>
          <w:rFonts w:ascii="Times New Roman" w:eastAsia="Times New Roman" w:hAnsi="Times New Roman" w:cs="Times New Roman"/>
          <w:sz w:val="24"/>
          <w:szCs w:val="24"/>
          <w:lang w:val="en-GB" w:eastAsia="en-GB"/>
        </w:rPr>
        <w:t xml:space="preserve"> </w:t>
      </w:r>
      <w:r w:rsidRPr="009D2DD3">
        <w:rPr>
          <w:rFonts w:ascii="Times New Roman" w:eastAsia="Times New Roman" w:hAnsi="Times New Roman" w:cs="Times New Roman"/>
          <w:sz w:val="24"/>
          <w:szCs w:val="24"/>
          <w:lang w:val="en-GB" w:eastAsia="en-GB"/>
        </w:rPr>
        <w:t xml:space="preserve">Morris M, Kretzschmar M. Concurrent partnerships and the spread of HIV. AIDS. 1997;11(5):641–648. </w:t>
      </w:r>
    </w:p>
    <w:p w14:paraId="6554FB4B"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21.</w:t>
      </w:r>
      <w:r w:rsidRPr="0053251A">
        <w:rPr>
          <w:rFonts w:ascii="Times New Roman" w:eastAsia="Times New Roman" w:hAnsi="Times New Roman" w:cs="Times New Roman"/>
          <w:sz w:val="24"/>
          <w:szCs w:val="24"/>
          <w:lang w:val="en-GB" w:eastAsia="en-GB"/>
        </w:rPr>
        <w:t xml:space="preserve"> </w:t>
      </w:r>
      <w:r w:rsidRPr="009D2DD3">
        <w:rPr>
          <w:rFonts w:ascii="Times New Roman" w:eastAsia="Times New Roman" w:hAnsi="Times New Roman" w:cs="Times New Roman"/>
          <w:sz w:val="24"/>
          <w:szCs w:val="24"/>
          <w:lang w:val="en-GB" w:eastAsia="en-GB"/>
        </w:rPr>
        <w:t xml:space="preserve">Eaton JW, Hallett TB, Garnett GP. Concurrent sexual partnerships and primary HIV infection: a critical interaction. AIDS </w:t>
      </w:r>
      <w:proofErr w:type="spellStart"/>
      <w:r w:rsidRPr="009D2DD3">
        <w:rPr>
          <w:rFonts w:ascii="Times New Roman" w:eastAsia="Times New Roman" w:hAnsi="Times New Roman" w:cs="Times New Roman"/>
          <w:sz w:val="24"/>
          <w:szCs w:val="24"/>
          <w:lang w:val="en-GB" w:eastAsia="en-GB"/>
        </w:rPr>
        <w:t>Behav</w:t>
      </w:r>
      <w:proofErr w:type="spellEnd"/>
      <w:r w:rsidRPr="009D2DD3">
        <w:rPr>
          <w:rFonts w:ascii="Times New Roman" w:eastAsia="Times New Roman" w:hAnsi="Times New Roman" w:cs="Times New Roman"/>
          <w:sz w:val="24"/>
          <w:szCs w:val="24"/>
          <w:lang w:val="en-GB" w:eastAsia="en-GB"/>
        </w:rPr>
        <w:t xml:space="preserve">. 2011;15(4):687–692. </w:t>
      </w:r>
    </w:p>
    <w:p w14:paraId="08395ED1"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22.</w:t>
      </w:r>
      <w:r w:rsidRPr="0053251A">
        <w:rPr>
          <w:rFonts w:ascii="Times New Roman" w:eastAsia="Times New Roman" w:hAnsi="Times New Roman" w:cs="Times New Roman"/>
          <w:sz w:val="24"/>
          <w:szCs w:val="24"/>
          <w:lang w:val="en-GB" w:eastAsia="en-GB"/>
        </w:rPr>
        <w:t xml:space="preserve"> </w:t>
      </w:r>
      <w:r w:rsidRPr="009D2DD3">
        <w:rPr>
          <w:rFonts w:ascii="Times New Roman" w:eastAsia="Times New Roman" w:hAnsi="Times New Roman" w:cs="Times New Roman"/>
          <w:sz w:val="24"/>
          <w:szCs w:val="24"/>
          <w:lang w:val="en-GB" w:eastAsia="en-GB"/>
        </w:rPr>
        <w:t xml:space="preserve">Stoner MCD, Nguyen N, Kilburn K, et al. Age-disparate partnerships and incident HIV infection in adolescent girls and young women in rural South Africa. AIDS. 2019;33(1):83–91. </w:t>
      </w:r>
    </w:p>
    <w:p w14:paraId="1BF720FD"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23.</w:t>
      </w:r>
      <w:r w:rsidRPr="0053251A">
        <w:rPr>
          <w:rFonts w:ascii="Times New Roman" w:eastAsia="Times New Roman" w:hAnsi="Times New Roman" w:cs="Times New Roman"/>
          <w:sz w:val="24"/>
          <w:szCs w:val="24"/>
          <w:lang w:val="en-GB" w:eastAsia="en-GB"/>
        </w:rPr>
        <w:t xml:space="preserve"> </w:t>
      </w:r>
      <w:r w:rsidRPr="009D2DD3">
        <w:rPr>
          <w:rFonts w:ascii="Times New Roman" w:eastAsia="Times New Roman" w:hAnsi="Times New Roman" w:cs="Times New Roman"/>
          <w:sz w:val="24"/>
          <w:szCs w:val="24"/>
          <w:lang w:val="en-GB" w:eastAsia="en-GB"/>
        </w:rPr>
        <w:t xml:space="preserve">Maughan-Brown B, Evans M, George G. Sexual behaviour of men and women within age-disparate partnerships in South Africa: implications for young women’s HIV risk. </w:t>
      </w:r>
      <w:proofErr w:type="spellStart"/>
      <w:r w:rsidRPr="009D2DD3">
        <w:rPr>
          <w:rFonts w:ascii="Times New Roman" w:eastAsia="Times New Roman" w:hAnsi="Times New Roman" w:cs="Times New Roman"/>
          <w:sz w:val="24"/>
          <w:szCs w:val="24"/>
          <w:lang w:val="en-GB" w:eastAsia="en-GB"/>
        </w:rPr>
        <w:t>PLoS</w:t>
      </w:r>
      <w:proofErr w:type="spellEnd"/>
      <w:r w:rsidRPr="009D2DD3">
        <w:rPr>
          <w:rFonts w:ascii="Times New Roman" w:eastAsia="Times New Roman" w:hAnsi="Times New Roman" w:cs="Times New Roman"/>
          <w:sz w:val="24"/>
          <w:szCs w:val="24"/>
          <w:lang w:val="en-GB" w:eastAsia="en-GB"/>
        </w:rPr>
        <w:t xml:space="preserve"> One. 2016;11(8</w:t>
      </w:r>
      <w:proofErr w:type="gramStart"/>
      <w:r w:rsidRPr="009D2DD3">
        <w:rPr>
          <w:rFonts w:ascii="Times New Roman" w:eastAsia="Times New Roman" w:hAnsi="Times New Roman" w:cs="Times New Roman"/>
          <w:sz w:val="24"/>
          <w:szCs w:val="24"/>
          <w:lang w:val="en-GB" w:eastAsia="en-GB"/>
        </w:rPr>
        <w:t>):e</w:t>
      </w:r>
      <w:proofErr w:type="gramEnd"/>
      <w:r w:rsidRPr="009D2DD3">
        <w:rPr>
          <w:rFonts w:ascii="Times New Roman" w:eastAsia="Times New Roman" w:hAnsi="Times New Roman" w:cs="Times New Roman"/>
          <w:sz w:val="24"/>
          <w:szCs w:val="24"/>
          <w:lang w:val="en-GB" w:eastAsia="en-GB"/>
        </w:rPr>
        <w:t xml:space="preserve">0159162. </w:t>
      </w:r>
    </w:p>
    <w:p w14:paraId="72B95210" w14:textId="77777777" w:rsidR="006E58AE" w:rsidRPr="0053251A" w:rsidRDefault="006E58AE" w:rsidP="00686D04">
      <w:pPr>
        <w:spacing w:after="0" w:line="240" w:lineRule="auto"/>
        <w:ind w:left="360" w:hanging="360"/>
        <w:rPr>
          <w:rFonts w:ascii="Times New Roman" w:hAnsi="Times New Roman" w:cs="Times New Roman"/>
          <w:sz w:val="24"/>
          <w:szCs w:val="24"/>
        </w:rPr>
      </w:pPr>
      <w:r w:rsidRPr="0053251A">
        <w:rPr>
          <w:rFonts w:ascii="Times New Roman" w:hAnsi="Times New Roman" w:cs="Times New Roman"/>
          <w:sz w:val="24"/>
          <w:szCs w:val="24"/>
        </w:rPr>
        <w:t>24.</w:t>
      </w:r>
      <w:r w:rsidRPr="0053251A">
        <w:rPr>
          <w:rFonts w:ascii="Times New Roman" w:eastAsia="Times New Roman" w:hAnsi="Times New Roman" w:cs="Times New Roman"/>
          <w:sz w:val="24"/>
          <w:szCs w:val="24"/>
          <w:lang w:val="en-GB" w:eastAsia="en-GB"/>
        </w:rPr>
        <w:t xml:space="preserve"> </w:t>
      </w:r>
      <w:r w:rsidRPr="009D2DD3">
        <w:rPr>
          <w:rFonts w:ascii="Times New Roman" w:eastAsia="Times New Roman" w:hAnsi="Times New Roman" w:cs="Times New Roman"/>
          <w:sz w:val="24"/>
          <w:szCs w:val="24"/>
          <w:lang w:val="en-GB" w:eastAsia="en-GB"/>
        </w:rPr>
        <w:t xml:space="preserve">Statistics South Africa. Mid-year population estimates, South Africa. Pretoria: Statistics South Africa. </w:t>
      </w:r>
    </w:p>
    <w:p w14:paraId="538C1902" w14:textId="77777777" w:rsidR="00DB43EC" w:rsidRPr="0053251A" w:rsidRDefault="006E58AE"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hAnsi="Times New Roman" w:cs="Times New Roman"/>
          <w:sz w:val="24"/>
          <w:szCs w:val="24"/>
        </w:rPr>
        <w:t>25.</w:t>
      </w:r>
      <w:r w:rsidRPr="0053251A">
        <w:rPr>
          <w:rFonts w:ascii="Times New Roman" w:eastAsia="Times New Roman" w:hAnsi="Times New Roman" w:cs="Times New Roman"/>
          <w:sz w:val="24"/>
          <w:szCs w:val="24"/>
          <w:lang w:val="en-GB" w:eastAsia="en-GB"/>
        </w:rPr>
        <w:t xml:space="preserve"> Johnson LF, Dorrington RE. </w:t>
      </w:r>
      <w:proofErr w:type="spellStart"/>
      <w:r w:rsidRPr="0053251A">
        <w:rPr>
          <w:rFonts w:ascii="Times New Roman" w:eastAsia="Times New Roman" w:hAnsi="Times New Roman" w:cs="Times New Roman"/>
          <w:sz w:val="24"/>
          <w:szCs w:val="24"/>
          <w:lang w:val="en-GB" w:eastAsia="en-GB"/>
        </w:rPr>
        <w:t>Thembisa</w:t>
      </w:r>
      <w:proofErr w:type="spellEnd"/>
      <w:r w:rsidRPr="0053251A">
        <w:rPr>
          <w:rFonts w:ascii="Times New Roman" w:eastAsia="Times New Roman" w:hAnsi="Times New Roman" w:cs="Times New Roman"/>
          <w:sz w:val="24"/>
          <w:szCs w:val="24"/>
          <w:lang w:val="en-GB" w:eastAsia="en-GB"/>
        </w:rPr>
        <w:t xml:space="preserve"> version 5.0: a model for evaluating the impact of HIV/AIDS in South Africa. Cape Town: Centre for Infectious Disease Epidemiology and Research, University of Cape Town.</w:t>
      </w:r>
    </w:p>
    <w:p w14:paraId="70A13280" w14:textId="77777777" w:rsidR="00DB43EC" w:rsidRPr="0053251A" w:rsidRDefault="006E58AE"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26.  </w:t>
      </w:r>
      <w:r w:rsidRPr="006E2F12">
        <w:rPr>
          <w:rFonts w:ascii="Times New Roman" w:eastAsia="Times New Roman" w:hAnsi="Times New Roman" w:cs="Times New Roman"/>
          <w:sz w:val="24"/>
          <w:szCs w:val="24"/>
          <w:lang w:val="en-GB" w:eastAsia="en-GB"/>
        </w:rPr>
        <w:t xml:space="preserve">Hollingsworth TD, Anderson RM, Fraser C. HIV-1 transmission, by stage of infection. J Infect Dis. 2008;198(5):687–693. </w:t>
      </w:r>
    </w:p>
    <w:p w14:paraId="23341C22" w14:textId="77777777" w:rsidR="00DB43EC" w:rsidRPr="0053251A" w:rsidRDefault="006E58AE"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27. </w:t>
      </w:r>
      <w:r w:rsidRPr="006E2F12">
        <w:rPr>
          <w:rFonts w:ascii="Times New Roman" w:eastAsia="Times New Roman" w:hAnsi="Times New Roman" w:cs="Times New Roman"/>
          <w:sz w:val="24"/>
          <w:szCs w:val="24"/>
          <w:lang w:val="en-GB" w:eastAsia="en-GB"/>
        </w:rPr>
        <w:t xml:space="preserve"> Cohen MS, Chen YQ, McCauley M, et al. Antiretroviral therapy for the prevention of HIV-1 transmission. N Engl J Med. 2016;375(9):830–839. </w:t>
      </w:r>
    </w:p>
    <w:p w14:paraId="70D0184D" w14:textId="77777777" w:rsidR="00DB43EC" w:rsidRPr="0053251A" w:rsidRDefault="006E58AE"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28.</w:t>
      </w:r>
      <w:r w:rsidRPr="006E2F12">
        <w:rPr>
          <w:rFonts w:ascii="Times New Roman" w:eastAsia="Times New Roman" w:hAnsi="Times New Roman" w:cs="Times New Roman"/>
          <w:sz w:val="24"/>
          <w:szCs w:val="24"/>
          <w:lang w:val="en-GB" w:eastAsia="en-GB"/>
        </w:rPr>
        <w:t xml:space="preserve">  Rodger AJ, Cambiano V, Bruun T, et al. Risk of HIV transmission through condomless sex in </w:t>
      </w:r>
      <w:proofErr w:type="spellStart"/>
      <w:r w:rsidRPr="006E2F12">
        <w:rPr>
          <w:rFonts w:ascii="Times New Roman" w:eastAsia="Times New Roman" w:hAnsi="Times New Roman" w:cs="Times New Roman"/>
          <w:sz w:val="24"/>
          <w:szCs w:val="24"/>
          <w:lang w:val="en-GB" w:eastAsia="en-GB"/>
        </w:rPr>
        <w:t>serodifferent</w:t>
      </w:r>
      <w:proofErr w:type="spellEnd"/>
      <w:r w:rsidRPr="006E2F12">
        <w:rPr>
          <w:rFonts w:ascii="Times New Roman" w:eastAsia="Times New Roman" w:hAnsi="Times New Roman" w:cs="Times New Roman"/>
          <w:sz w:val="24"/>
          <w:szCs w:val="24"/>
          <w:lang w:val="en-GB" w:eastAsia="en-GB"/>
        </w:rPr>
        <w:t xml:space="preserve"> couples when the HIV-positive partner is using suppressive antiretroviral therapy. JAMA. 2016;316(2):171–181. </w:t>
      </w:r>
    </w:p>
    <w:p w14:paraId="33018DB1" w14:textId="77777777" w:rsidR="00DB43EC" w:rsidRPr="0053251A" w:rsidRDefault="006E58AE"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29.</w:t>
      </w:r>
      <w:r w:rsidRPr="006E2F12">
        <w:rPr>
          <w:rFonts w:ascii="Times New Roman" w:eastAsia="Times New Roman" w:hAnsi="Times New Roman" w:cs="Times New Roman"/>
          <w:sz w:val="24"/>
          <w:szCs w:val="24"/>
          <w:lang w:val="en-GB" w:eastAsia="en-GB"/>
        </w:rPr>
        <w:t xml:space="preserve">  Baeten JM, Donnell D, </w:t>
      </w:r>
      <w:proofErr w:type="spellStart"/>
      <w:r w:rsidRPr="006E2F12">
        <w:rPr>
          <w:rFonts w:ascii="Times New Roman" w:eastAsia="Times New Roman" w:hAnsi="Times New Roman" w:cs="Times New Roman"/>
          <w:sz w:val="24"/>
          <w:szCs w:val="24"/>
          <w:lang w:val="en-GB" w:eastAsia="en-GB"/>
        </w:rPr>
        <w:t>Ndase</w:t>
      </w:r>
      <w:proofErr w:type="spellEnd"/>
      <w:r w:rsidRPr="006E2F12">
        <w:rPr>
          <w:rFonts w:ascii="Times New Roman" w:eastAsia="Times New Roman" w:hAnsi="Times New Roman" w:cs="Times New Roman"/>
          <w:sz w:val="24"/>
          <w:szCs w:val="24"/>
          <w:lang w:val="en-GB" w:eastAsia="en-GB"/>
        </w:rPr>
        <w:t xml:space="preserve"> P, et al. Antiretroviral prophylaxis for HIV prevention in heterosexual men and women. N Engl J Med. 2012;367(5):399–410.</w:t>
      </w:r>
    </w:p>
    <w:p w14:paraId="1B866065"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30. </w:t>
      </w:r>
      <w:r w:rsidR="006E58AE" w:rsidRPr="006E2F12">
        <w:rPr>
          <w:rFonts w:ascii="Times New Roman" w:eastAsia="Times New Roman" w:hAnsi="Times New Roman" w:cs="Times New Roman"/>
          <w:sz w:val="24"/>
          <w:szCs w:val="24"/>
          <w:lang w:val="en-GB" w:eastAsia="en-GB"/>
        </w:rPr>
        <w:t xml:space="preserve">World Health Organization. Pre-exposure prophylaxis. Geneva: World Health Organization. </w:t>
      </w:r>
    </w:p>
    <w:p w14:paraId="2F78F11D" w14:textId="77777777" w:rsidR="00DB43EC" w:rsidRPr="0053251A" w:rsidRDefault="006E58AE"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31.</w:t>
      </w:r>
      <w:r w:rsidRPr="006E2F12">
        <w:rPr>
          <w:rFonts w:ascii="Times New Roman" w:eastAsia="Times New Roman" w:hAnsi="Times New Roman" w:cs="Times New Roman"/>
          <w:sz w:val="24"/>
          <w:szCs w:val="24"/>
          <w:lang w:val="en-GB" w:eastAsia="en-GB"/>
        </w:rPr>
        <w:t xml:space="preserve">  Beesham I, Heffron R, Evans S, et al. Exploring the use of oral pre-exposure prophylaxis among women in Durban, South Africa. J Int AIDS Soc. 2022;</w:t>
      </w:r>
      <w:proofErr w:type="gramStart"/>
      <w:r w:rsidRPr="006E2F12">
        <w:rPr>
          <w:rFonts w:ascii="Times New Roman" w:eastAsia="Times New Roman" w:hAnsi="Times New Roman" w:cs="Times New Roman"/>
          <w:sz w:val="24"/>
          <w:szCs w:val="24"/>
          <w:lang w:val="en-GB" w:eastAsia="en-GB"/>
        </w:rPr>
        <w:t>25:e</w:t>
      </w:r>
      <w:proofErr w:type="gramEnd"/>
      <w:r w:rsidRPr="006E2F12">
        <w:rPr>
          <w:rFonts w:ascii="Times New Roman" w:eastAsia="Times New Roman" w:hAnsi="Times New Roman" w:cs="Times New Roman"/>
          <w:sz w:val="24"/>
          <w:szCs w:val="24"/>
          <w:lang w:val="en-GB" w:eastAsia="en-GB"/>
        </w:rPr>
        <w:t>25970.</w:t>
      </w:r>
    </w:p>
    <w:p w14:paraId="3CFDFE60" w14:textId="77777777" w:rsidR="00DB43EC" w:rsidRPr="0053251A" w:rsidRDefault="006E58AE"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32.</w:t>
      </w:r>
      <w:r w:rsidRPr="006E2F12">
        <w:rPr>
          <w:rFonts w:ascii="Times New Roman" w:eastAsia="Times New Roman" w:hAnsi="Times New Roman" w:cs="Times New Roman"/>
          <w:sz w:val="24"/>
          <w:szCs w:val="24"/>
          <w:lang w:val="en-GB" w:eastAsia="en-GB"/>
        </w:rPr>
        <w:t xml:space="preserve">  Rousseau E, Bekker LG, Julies RF, et al. A community-based mobile clinic model delivering </w:t>
      </w:r>
      <w:proofErr w:type="spellStart"/>
      <w:r w:rsidRPr="006E2F12">
        <w:rPr>
          <w:rFonts w:ascii="Times New Roman" w:eastAsia="Times New Roman" w:hAnsi="Times New Roman" w:cs="Times New Roman"/>
          <w:sz w:val="24"/>
          <w:szCs w:val="24"/>
          <w:lang w:val="en-GB" w:eastAsia="en-GB"/>
        </w:rPr>
        <w:t>PrEP</w:t>
      </w:r>
      <w:proofErr w:type="spellEnd"/>
      <w:r w:rsidRPr="006E2F12">
        <w:rPr>
          <w:rFonts w:ascii="Times New Roman" w:eastAsia="Times New Roman" w:hAnsi="Times New Roman" w:cs="Times New Roman"/>
          <w:sz w:val="24"/>
          <w:szCs w:val="24"/>
          <w:lang w:val="en-GB" w:eastAsia="en-GB"/>
        </w:rPr>
        <w:t xml:space="preserve"> for HIV prevention to adolescent girls and young women in Cape Town, South Africa. BMC Health </w:t>
      </w:r>
      <w:proofErr w:type="spellStart"/>
      <w:r w:rsidRPr="006E2F12">
        <w:rPr>
          <w:rFonts w:ascii="Times New Roman" w:eastAsia="Times New Roman" w:hAnsi="Times New Roman" w:cs="Times New Roman"/>
          <w:sz w:val="24"/>
          <w:szCs w:val="24"/>
          <w:lang w:val="en-GB" w:eastAsia="en-GB"/>
        </w:rPr>
        <w:t>Serv</w:t>
      </w:r>
      <w:proofErr w:type="spellEnd"/>
      <w:r w:rsidRPr="006E2F12">
        <w:rPr>
          <w:rFonts w:ascii="Times New Roman" w:eastAsia="Times New Roman" w:hAnsi="Times New Roman" w:cs="Times New Roman"/>
          <w:sz w:val="24"/>
          <w:szCs w:val="24"/>
          <w:lang w:val="en-GB" w:eastAsia="en-GB"/>
        </w:rPr>
        <w:t xml:space="preserve"> Res. </w:t>
      </w:r>
      <w:proofErr w:type="gramStart"/>
      <w:r w:rsidRPr="006E2F12">
        <w:rPr>
          <w:rFonts w:ascii="Times New Roman" w:eastAsia="Times New Roman" w:hAnsi="Times New Roman" w:cs="Times New Roman"/>
          <w:sz w:val="24"/>
          <w:szCs w:val="24"/>
          <w:lang w:val="en-GB" w:eastAsia="en-GB"/>
        </w:rPr>
        <w:t>2021;21:888</w:t>
      </w:r>
      <w:proofErr w:type="gramEnd"/>
      <w:r w:rsidRPr="006E2F12">
        <w:rPr>
          <w:rFonts w:ascii="Times New Roman" w:eastAsia="Times New Roman" w:hAnsi="Times New Roman" w:cs="Times New Roman"/>
          <w:sz w:val="24"/>
          <w:szCs w:val="24"/>
          <w:lang w:val="en-GB" w:eastAsia="en-GB"/>
        </w:rPr>
        <w:t xml:space="preserve">. </w:t>
      </w:r>
    </w:p>
    <w:p w14:paraId="478EB6A9" w14:textId="77777777" w:rsidR="00DB43EC" w:rsidRPr="0053251A" w:rsidRDefault="006E58AE"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hAnsi="Times New Roman" w:cs="Times New Roman"/>
          <w:sz w:val="24"/>
          <w:szCs w:val="24"/>
        </w:rPr>
        <w:t xml:space="preserve">33. Mathews C, Lombard C, Puren A, et al. HIV care coverage among HIV-positive adolescent girls and young women in South Africa. S </w:t>
      </w:r>
      <w:proofErr w:type="spellStart"/>
      <w:r w:rsidRPr="0053251A">
        <w:rPr>
          <w:rFonts w:ascii="Times New Roman" w:hAnsi="Times New Roman" w:cs="Times New Roman"/>
          <w:sz w:val="24"/>
          <w:szCs w:val="24"/>
        </w:rPr>
        <w:t>Afr</w:t>
      </w:r>
      <w:proofErr w:type="spellEnd"/>
      <w:r w:rsidRPr="0053251A">
        <w:rPr>
          <w:rFonts w:ascii="Times New Roman" w:hAnsi="Times New Roman" w:cs="Times New Roman"/>
          <w:sz w:val="24"/>
          <w:szCs w:val="24"/>
        </w:rPr>
        <w:t xml:space="preserve"> Med J. 2021;111(9):888–895.</w:t>
      </w:r>
    </w:p>
    <w:p w14:paraId="5F42CB96"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34. </w:t>
      </w:r>
      <w:r w:rsidRPr="00DB43EC">
        <w:rPr>
          <w:rFonts w:ascii="Times New Roman" w:eastAsia="Times New Roman" w:hAnsi="Times New Roman" w:cs="Times New Roman"/>
          <w:sz w:val="24"/>
          <w:szCs w:val="24"/>
          <w:lang w:val="en-GB" w:eastAsia="en-GB"/>
        </w:rPr>
        <w:t xml:space="preserve">UNAIDS. Women and girls carry the heaviest HIV burden in sub-Saharan Africa. Geneva: UNAIDS; 2022. </w:t>
      </w:r>
    </w:p>
    <w:p w14:paraId="13C451A1"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35. </w:t>
      </w:r>
      <w:proofErr w:type="spellStart"/>
      <w:r w:rsidRPr="00DB43EC">
        <w:rPr>
          <w:rFonts w:ascii="Times New Roman" w:eastAsia="Times New Roman" w:hAnsi="Times New Roman" w:cs="Times New Roman"/>
          <w:sz w:val="24"/>
          <w:szCs w:val="24"/>
          <w:lang w:val="en-GB" w:eastAsia="en-GB"/>
        </w:rPr>
        <w:t>Murewanhema</w:t>
      </w:r>
      <w:proofErr w:type="spellEnd"/>
      <w:r w:rsidRPr="00DB43EC">
        <w:rPr>
          <w:rFonts w:ascii="Times New Roman" w:eastAsia="Times New Roman" w:hAnsi="Times New Roman" w:cs="Times New Roman"/>
          <w:sz w:val="24"/>
          <w:szCs w:val="24"/>
          <w:lang w:val="en-GB" w:eastAsia="en-GB"/>
        </w:rPr>
        <w:t xml:space="preserve"> G, Musuka G, </w:t>
      </w:r>
      <w:proofErr w:type="spellStart"/>
      <w:r w:rsidRPr="00DB43EC">
        <w:rPr>
          <w:rFonts w:ascii="Times New Roman" w:eastAsia="Times New Roman" w:hAnsi="Times New Roman" w:cs="Times New Roman"/>
          <w:sz w:val="24"/>
          <w:szCs w:val="24"/>
          <w:lang w:val="en-GB" w:eastAsia="en-GB"/>
        </w:rPr>
        <w:t>Dzinamarira</w:t>
      </w:r>
      <w:proofErr w:type="spellEnd"/>
      <w:r w:rsidRPr="00DB43EC">
        <w:rPr>
          <w:rFonts w:ascii="Times New Roman" w:eastAsia="Times New Roman" w:hAnsi="Times New Roman" w:cs="Times New Roman"/>
          <w:sz w:val="24"/>
          <w:szCs w:val="24"/>
          <w:lang w:val="en-GB" w:eastAsia="en-GB"/>
        </w:rPr>
        <w:t xml:space="preserve"> T, et al. HIV and adolescent girls and young women in sub-Saharan Africa: a call for expedited action to reduce new infections. Int J Infect Dis. 2022. </w:t>
      </w:r>
    </w:p>
    <w:p w14:paraId="789FA2D7"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lastRenderedPageBreak/>
        <w:t xml:space="preserve">36. </w:t>
      </w:r>
      <w:r w:rsidRPr="00DB43EC">
        <w:rPr>
          <w:rFonts w:ascii="Times New Roman" w:eastAsia="Times New Roman" w:hAnsi="Times New Roman" w:cs="Times New Roman"/>
          <w:sz w:val="24"/>
          <w:szCs w:val="24"/>
          <w:lang w:val="en-GB" w:eastAsia="en-GB"/>
        </w:rPr>
        <w:t xml:space="preserve">Stoner MCD, Nguyen N, Kilburn K, et al. Age-disparate partnerships and incident HIV infection in adolescent girls and young women in South Africa. AIDS. 2019;33(1):83–91. </w:t>
      </w:r>
    </w:p>
    <w:p w14:paraId="1EC1A774"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37. </w:t>
      </w:r>
      <w:r w:rsidRPr="00DB43EC">
        <w:rPr>
          <w:rFonts w:ascii="Times New Roman" w:eastAsia="Times New Roman" w:hAnsi="Times New Roman" w:cs="Times New Roman"/>
          <w:sz w:val="24"/>
          <w:szCs w:val="24"/>
          <w:lang w:val="en-GB" w:eastAsia="en-GB"/>
        </w:rPr>
        <w:t xml:space="preserve">Maughan-Brown B, Evans M, George G. Sexual behaviour of men and women within age-disparate partnerships in South Africa: implications for young women’s HIV risk. </w:t>
      </w:r>
      <w:proofErr w:type="spellStart"/>
      <w:r w:rsidRPr="00DB43EC">
        <w:rPr>
          <w:rFonts w:ascii="Times New Roman" w:eastAsia="Times New Roman" w:hAnsi="Times New Roman" w:cs="Times New Roman"/>
          <w:sz w:val="24"/>
          <w:szCs w:val="24"/>
          <w:lang w:val="en-GB" w:eastAsia="en-GB"/>
        </w:rPr>
        <w:t>PLoS</w:t>
      </w:r>
      <w:proofErr w:type="spellEnd"/>
      <w:r w:rsidRPr="00DB43EC">
        <w:rPr>
          <w:rFonts w:ascii="Times New Roman" w:eastAsia="Times New Roman" w:hAnsi="Times New Roman" w:cs="Times New Roman"/>
          <w:sz w:val="24"/>
          <w:szCs w:val="24"/>
          <w:lang w:val="en-GB" w:eastAsia="en-GB"/>
        </w:rPr>
        <w:t xml:space="preserve"> One. 2016;11(8</w:t>
      </w:r>
      <w:proofErr w:type="gramStart"/>
      <w:r w:rsidRPr="00DB43EC">
        <w:rPr>
          <w:rFonts w:ascii="Times New Roman" w:eastAsia="Times New Roman" w:hAnsi="Times New Roman" w:cs="Times New Roman"/>
          <w:sz w:val="24"/>
          <w:szCs w:val="24"/>
          <w:lang w:val="en-GB" w:eastAsia="en-GB"/>
        </w:rPr>
        <w:t>):e</w:t>
      </w:r>
      <w:proofErr w:type="gramEnd"/>
      <w:r w:rsidRPr="00DB43EC">
        <w:rPr>
          <w:rFonts w:ascii="Times New Roman" w:eastAsia="Times New Roman" w:hAnsi="Times New Roman" w:cs="Times New Roman"/>
          <w:sz w:val="24"/>
          <w:szCs w:val="24"/>
          <w:lang w:val="en-GB" w:eastAsia="en-GB"/>
        </w:rPr>
        <w:t xml:space="preserve">0159162. </w:t>
      </w:r>
    </w:p>
    <w:p w14:paraId="650D579F"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38. </w:t>
      </w:r>
      <w:r w:rsidRPr="00DB43EC">
        <w:rPr>
          <w:rFonts w:ascii="Times New Roman" w:eastAsia="Times New Roman" w:hAnsi="Times New Roman" w:cs="Times New Roman"/>
          <w:sz w:val="24"/>
          <w:szCs w:val="24"/>
          <w:lang w:val="en-GB" w:eastAsia="en-GB"/>
        </w:rPr>
        <w:t xml:space="preserve">Mathews C, </w:t>
      </w:r>
      <w:proofErr w:type="spellStart"/>
      <w:r w:rsidRPr="00DB43EC">
        <w:rPr>
          <w:rFonts w:ascii="Times New Roman" w:eastAsia="Times New Roman" w:hAnsi="Times New Roman" w:cs="Times New Roman"/>
          <w:sz w:val="24"/>
          <w:szCs w:val="24"/>
          <w:lang w:val="en-GB" w:eastAsia="en-GB"/>
        </w:rPr>
        <w:t>Cheyip</w:t>
      </w:r>
      <w:proofErr w:type="spellEnd"/>
      <w:r w:rsidRPr="00DB43EC">
        <w:rPr>
          <w:rFonts w:ascii="Times New Roman" w:eastAsia="Times New Roman" w:hAnsi="Times New Roman" w:cs="Times New Roman"/>
          <w:sz w:val="24"/>
          <w:szCs w:val="24"/>
          <w:lang w:val="en-GB" w:eastAsia="en-GB"/>
        </w:rPr>
        <w:t xml:space="preserve"> M, Beauclair R, et al. HIV care coverage among HIV-positive adolescent girls and young women in South Africa: results from the </w:t>
      </w:r>
      <w:proofErr w:type="spellStart"/>
      <w:r w:rsidRPr="00DB43EC">
        <w:rPr>
          <w:rFonts w:ascii="Times New Roman" w:eastAsia="Times New Roman" w:hAnsi="Times New Roman" w:cs="Times New Roman"/>
          <w:sz w:val="24"/>
          <w:szCs w:val="24"/>
          <w:lang w:val="en-GB" w:eastAsia="en-GB"/>
        </w:rPr>
        <w:t>HERStory</w:t>
      </w:r>
      <w:proofErr w:type="spellEnd"/>
      <w:r w:rsidRPr="00DB43EC">
        <w:rPr>
          <w:rFonts w:ascii="Times New Roman" w:eastAsia="Times New Roman" w:hAnsi="Times New Roman" w:cs="Times New Roman"/>
          <w:sz w:val="24"/>
          <w:szCs w:val="24"/>
          <w:lang w:val="en-GB" w:eastAsia="en-GB"/>
        </w:rPr>
        <w:t xml:space="preserve"> Study. S </w:t>
      </w:r>
      <w:proofErr w:type="spellStart"/>
      <w:r w:rsidRPr="00DB43EC">
        <w:rPr>
          <w:rFonts w:ascii="Times New Roman" w:eastAsia="Times New Roman" w:hAnsi="Times New Roman" w:cs="Times New Roman"/>
          <w:sz w:val="24"/>
          <w:szCs w:val="24"/>
          <w:lang w:val="en-GB" w:eastAsia="en-GB"/>
        </w:rPr>
        <w:t>Afr</w:t>
      </w:r>
      <w:proofErr w:type="spellEnd"/>
      <w:r w:rsidRPr="00DB43EC">
        <w:rPr>
          <w:rFonts w:ascii="Times New Roman" w:eastAsia="Times New Roman" w:hAnsi="Times New Roman" w:cs="Times New Roman"/>
          <w:sz w:val="24"/>
          <w:szCs w:val="24"/>
          <w:lang w:val="en-GB" w:eastAsia="en-GB"/>
        </w:rPr>
        <w:t xml:space="preserve"> Med J. 2021;111(5):460–468. </w:t>
      </w:r>
    </w:p>
    <w:p w14:paraId="7E2E4D4C"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39. </w:t>
      </w:r>
      <w:r w:rsidRPr="00DB43EC">
        <w:rPr>
          <w:rFonts w:ascii="Times New Roman" w:eastAsia="Times New Roman" w:hAnsi="Times New Roman" w:cs="Times New Roman"/>
          <w:sz w:val="24"/>
          <w:szCs w:val="24"/>
          <w:lang w:val="en-GB" w:eastAsia="en-GB"/>
        </w:rPr>
        <w:t xml:space="preserve">Baeten JM, Donnell D, </w:t>
      </w:r>
      <w:proofErr w:type="spellStart"/>
      <w:r w:rsidRPr="00DB43EC">
        <w:rPr>
          <w:rFonts w:ascii="Times New Roman" w:eastAsia="Times New Roman" w:hAnsi="Times New Roman" w:cs="Times New Roman"/>
          <w:sz w:val="24"/>
          <w:szCs w:val="24"/>
          <w:lang w:val="en-GB" w:eastAsia="en-GB"/>
        </w:rPr>
        <w:t>Ndase</w:t>
      </w:r>
      <w:proofErr w:type="spellEnd"/>
      <w:r w:rsidRPr="00DB43EC">
        <w:rPr>
          <w:rFonts w:ascii="Times New Roman" w:eastAsia="Times New Roman" w:hAnsi="Times New Roman" w:cs="Times New Roman"/>
          <w:sz w:val="24"/>
          <w:szCs w:val="24"/>
          <w:lang w:val="en-GB" w:eastAsia="en-GB"/>
        </w:rPr>
        <w:t xml:space="preserve"> P, et al. Antiretroviral prophylaxis for HIV prevention in heterosexual men and women. N Engl J Med. 2012;367(5):399–410.</w:t>
      </w:r>
    </w:p>
    <w:p w14:paraId="0C88E0B0"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40. </w:t>
      </w:r>
      <w:r w:rsidRPr="00DB43EC">
        <w:rPr>
          <w:rFonts w:ascii="Times New Roman" w:eastAsia="Times New Roman" w:hAnsi="Times New Roman" w:cs="Times New Roman"/>
          <w:sz w:val="24"/>
          <w:szCs w:val="24"/>
          <w:lang w:val="en-GB" w:eastAsia="en-GB"/>
        </w:rPr>
        <w:t xml:space="preserve">World Health Organization. Pre-exposure prophylaxis. Geneva: World Health Organization. </w:t>
      </w:r>
    </w:p>
    <w:p w14:paraId="29C16B88"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41. </w:t>
      </w:r>
      <w:r w:rsidRPr="00DB43EC">
        <w:rPr>
          <w:rFonts w:ascii="Times New Roman" w:eastAsia="Times New Roman" w:hAnsi="Times New Roman" w:cs="Times New Roman"/>
          <w:sz w:val="24"/>
          <w:szCs w:val="24"/>
          <w:lang w:val="en-GB" w:eastAsia="en-GB"/>
        </w:rPr>
        <w:t>Beesham I, Heffron R, Evans S, et al. Exploring the use of oral pre-exposure prophylaxis among women in Durban, South Africa. J Int AIDS Soc. 2022;</w:t>
      </w:r>
      <w:proofErr w:type="gramStart"/>
      <w:r w:rsidRPr="00DB43EC">
        <w:rPr>
          <w:rFonts w:ascii="Times New Roman" w:eastAsia="Times New Roman" w:hAnsi="Times New Roman" w:cs="Times New Roman"/>
          <w:sz w:val="24"/>
          <w:szCs w:val="24"/>
          <w:lang w:val="en-GB" w:eastAsia="en-GB"/>
        </w:rPr>
        <w:t>25:e</w:t>
      </w:r>
      <w:proofErr w:type="gramEnd"/>
      <w:r w:rsidRPr="00DB43EC">
        <w:rPr>
          <w:rFonts w:ascii="Times New Roman" w:eastAsia="Times New Roman" w:hAnsi="Times New Roman" w:cs="Times New Roman"/>
          <w:sz w:val="24"/>
          <w:szCs w:val="24"/>
          <w:lang w:val="en-GB" w:eastAsia="en-GB"/>
        </w:rPr>
        <w:t>25970.</w:t>
      </w:r>
    </w:p>
    <w:p w14:paraId="6FF71D7A"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42. </w:t>
      </w:r>
      <w:r w:rsidRPr="00DB43EC">
        <w:rPr>
          <w:rFonts w:ascii="Times New Roman" w:eastAsia="Times New Roman" w:hAnsi="Times New Roman" w:cs="Times New Roman"/>
          <w:sz w:val="24"/>
          <w:szCs w:val="24"/>
          <w:lang w:val="en-GB" w:eastAsia="en-GB"/>
        </w:rPr>
        <w:t xml:space="preserve">Rousseau E, Bekker LG, Julies RF, et al. A community-based mobile clinic model delivering </w:t>
      </w:r>
      <w:proofErr w:type="spellStart"/>
      <w:r w:rsidRPr="00DB43EC">
        <w:rPr>
          <w:rFonts w:ascii="Times New Roman" w:eastAsia="Times New Roman" w:hAnsi="Times New Roman" w:cs="Times New Roman"/>
          <w:sz w:val="24"/>
          <w:szCs w:val="24"/>
          <w:lang w:val="en-GB" w:eastAsia="en-GB"/>
        </w:rPr>
        <w:t>PrEP</w:t>
      </w:r>
      <w:proofErr w:type="spellEnd"/>
      <w:r w:rsidRPr="00DB43EC">
        <w:rPr>
          <w:rFonts w:ascii="Times New Roman" w:eastAsia="Times New Roman" w:hAnsi="Times New Roman" w:cs="Times New Roman"/>
          <w:sz w:val="24"/>
          <w:szCs w:val="24"/>
          <w:lang w:val="en-GB" w:eastAsia="en-GB"/>
        </w:rPr>
        <w:t xml:space="preserve"> for HIV prevention to adolescent girls and young women in Cape Town, South Africa. BMC Health </w:t>
      </w:r>
      <w:proofErr w:type="spellStart"/>
      <w:r w:rsidRPr="00DB43EC">
        <w:rPr>
          <w:rFonts w:ascii="Times New Roman" w:eastAsia="Times New Roman" w:hAnsi="Times New Roman" w:cs="Times New Roman"/>
          <w:sz w:val="24"/>
          <w:szCs w:val="24"/>
          <w:lang w:val="en-GB" w:eastAsia="en-GB"/>
        </w:rPr>
        <w:t>Serv</w:t>
      </w:r>
      <w:proofErr w:type="spellEnd"/>
      <w:r w:rsidRPr="00DB43EC">
        <w:rPr>
          <w:rFonts w:ascii="Times New Roman" w:eastAsia="Times New Roman" w:hAnsi="Times New Roman" w:cs="Times New Roman"/>
          <w:sz w:val="24"/>
          <w:szCs w:val="24"/>
          <w:lang w:val="en-GB" w:eastAsia="en-GB"/>
        </w:rPr>
        <w:t xml:space="preserve"> Res. </w:t>
      </w:r>
      <w:proofErr w:type="gramStart"/>
      <w:r w:rsidRPr="00DB43EC">
        <w:rPr>
          <w:rFonts w:ascii="Times New Roman" w:eastAsia="Times New Roman" w:hAnsi="Times New Roman" w:cs="Times New Roman"/>
          <w:sz w:val="24"/>
          <w:szCs w:val="24"/>
          <w:lang w:val="en-GB" w:eastAsia="en-GB"/>
        </w:rPr>
        <w:t>2021;21:888</w:t>
      </w:r>
      <w:proofErr w:type="gramEnd"/>
      <w:r w:rsidRPr="00DB43EC">
        <w:rPr>
          <w:rFonts w:ascii="Times New Roman" w:eastAsia="Times New Roman" w:hAnsi="Times New Roman" w:cs="Times New Roman"/>
          <w:sz w:val="24"/>
          <w:szCs w:val="24"/>
          <w:lang w:val="en-GB" w:eastAsia="en-GB"/>
        </w:rPr>
        <w:t xml:space="preserve">. </w:t>
      </w:r>
    </w:p>
    <w:p w14:paraId="1FB53AE3"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43.</w:t>
      </w:r>
      <w:r w:rsidRPr="00DB43EC">
        <w:rPr>
          <w:rFonts w:ascii="Times New Roman" w:eastAsia="Times New Roman" w:hAnsi="Times New Roman" w:cs="Times New Roman"/>
          <w:sz w:val="24"/>
          <w:szCs w:val="24"/>
          <w:lang w:val="en-GB" w:eastAsia="en-GB"/>
        </w:rPr>
        <w:t xml:space="preserve"> Rao A, </w:t>
      </w:r>
      <w:proofErr w:type="spellStart"/>
      <w:r w:rsidRPr="00DB43EC">
        <w:rPr>
          <w:rFonts w:ascii="Times New Roman" w:eastAsia="Times New Roman" w:hAnsi="Times New Roman" w:cs="Times New Roman"/>
          <w:sz w:val="24"/>
          <w:szCs w:val="24"/>
          <w:lang w:val="en-GB" w:eastAsia="en-GB"/>
        </w:rPr>
        <w:t>Celum</w:t>
      </w:r>
      <w:proofErr w:type="spellEnd"/>
      <w:r w:rsidRPr="00DB43EC">
        <w:rPr>
          <w:rFonts w:ascii="Times New Roman" w:eastAsia="Times New Roman" w:hAnsi="Times New Roman" w:cs="Times New Roman"/>
          <w:sz w:val="24"/>
          <w:szCs w:val="24"/>
          <w:lang w:val="en-GB" w:eastAsia="en-GB"/>
        </w:rPr>
        <w:t xml:space="preserve"> C, Baeten JM, et al. Longitudinal patterns of initiation, persistence, and cycling on </w:t>
      </w:r>
      <w:proofErr w:type="spellStart"/>
      <w:r w:rsidRPr="00DB43EC">
        <w:rPr>
          <w:rFonts w:ascii="Times New Roman" w:eastAsia="Times New Roman" w:hAnsi="Times New Roman" w:cs="Times New Roman"/>
          <w:sz w:val="24"/>
          <w:szCs w:val="24"/>
          <w:lang w:val="en-GB" w:eastAsia="en-GB"/>
        </w:rPr>
        <w:t>PrEP</w:t>
      </w:r>
      <w:proofErr w:type="spellEnd"/>
      <w:r w:rsidRPr="00DB43EC">
        <w:rPr>
          <w:rFonts w:ascii="Times New Roman" w:eastAsia="Times New Roman" w:hAnsi="Times New Roman" w:cs="Times New Roman"/>
          <w:sz w:val="24"/>
          <w:szCs w:val="24"/>
          <w:lang w:val="en-GB" w:eastAsia="en-GB"/>
        </w:rPr>
        <w:t xml:space="preserve"> among female sex workers and adolescent girls and young women in South Africa, 2016–2021. J Int AIDS Soc. 2023. </w:t>
      </w:r>
    </w:p>
    <w:p w14:paraId="2FF7EF91"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44. </w:t>
      </w:r>
      <w:r w:rsidRPr="00DB43EC">
        <w:rPr>
          <w:rFonts w:ascii="Times New Roman" w:eastAsia="Times New Roman" w:hAnsi="Times New Roman" w:cs="Times New Roman"/>
          <w:sz w:val="24"/>
          <w:szCs w:val="24"/>
          <w:lang w:val="en-GB" w:eastAsia="en-GB"/>
        </w:rPr>
        <w:t xml:space="preserve">World Health Organization. Guidelines on long-acting injectable cabotegravir for HIV prevention. Geneva: WHO; 2022. </w:t>
      </w:r>
    </w:p>
    <w:p w14:paraId="0AB58FBA"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45. </w:t>
      </w:r>
      <w:r w:rsidRPr="00DB43EC">
        <w:rPr>
          <w:rFonts w:ascii="Times New Roman" w:eastAsia="Times New Roman" w:hAnsi="Times New Roman" w:cs="Times New Roman"/>
          <w:sz w:val="24"/>
          <w:szCs w:val="24"/>
          <w:lang w:val="en-GB" w:eastAsia="en-GB"/>
        </w:rPr>
        <w:t xml:space="preserve">Abbas UL, </w:t>
      </w:r>
      <w:proofErr w:type="spellStart"/>
      <w:r w:rsidRPr="00DB43EC">
        <w:rPr>
          <w:rFonts w:ascii="Times New Roman" w:eastAsia="Times New Roman" w:hAnsi="Times New Roman" w:cs="Times New Roman"/>
          <w:sz w:val="24"/>
          <w:szCs w:val="24"/>
          <w:lang w:val="en-GB" w:eastAsia="en-GB"/>
        </w:rPr>
        <w:t>Glaubius</w:t>
      </w:r>
      <w:proofErr w:type="spellEnd"/>
      <w:r w:rsidRPr="00DB43EC">
        <w:rPr>
          <w:rFonts w:ascii="Times New Roman" w:eastAsia="Times New Roman" w:hAnsi="Times New Roman" w:cs="Times New Roman"/>
          <w:sz w:val="24"/>
          <w:szCs w:val="24"/>
          <w:lang w:val="en-GB" w:eastAsia="en-GB"/>
        </w:rPr>
        <w:t xml:space="preserve"> R, </w:t>
      </w:r>
      <w:proofErr w:type="spellStart"/>
      <w:r w:rsidRPr="00DB43EC">
        <w:rPr>
          <w:rFonts w:ascii="Times New Roman" w:eastAsia="Times New Roman" w:hAnsi="Times New Roman" w:cs="Times New Roman"/>
          <w:sz w:val="24"/>
          <w:szCs w:val="24"/>
          <w:lang w:val="en-GB" w:eastAsia="en-GB"/>
        </w:rPr>
        <w:t>Mubayi</w:t>
      </w:r>
      <w:proofErr w:type="spellEnd"/>
      <w:r w:rsidRPr="00DB43EC">
        <w:rPr>
          <w:rFonts w:ascii="Times New Roman" w:eastAsia="Times New Roman" w:hAnsi="Times New Roman" w:cs="Times New Roman"/>
          <w:sz w:val="24"/>
          <w:szCs w:val="24"/>
          <w:lang w:val="en-GB" w:eastAsia="en-GB"/>
        </w:rPr>
        <w:t xml:space="preserve"> A, Hood G, Mellors JW. Antiretroviral therapy and pre-exposure prophylaxis: combined impact on HIV transmission and drug resistance in South Africa. J Infect Dis. 2013;208(2):224–234. </w:t>
      </w:r>
    </w:p>
    <w:p w14:paraId="2C7F4C6C"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hAnsi="Times New Roman" w:cs="Times New Roman"/>
          <w:sz w:val="24"/>
          <w:szCs w:val="24"/>
        </w:rPr>
        <w:t xml:space="preserve">46. </w:t>
      </w:r>
      <w:proofErr w:type="spellStart"/>
      <w:r w:rsidRPr="0053251A">
        <w:rPr>
          <w:rFonts w:ascii="Times New Roman" w:hAnsi="Times New Roman" w:cs="Times New Roman"/>
          <w:sz w:val="24"/>
          <w:szCs w:val="24"/>
        </w:rPr>
        <w:t>Glaubius</w:t>
      </w:r>
      <w:proofErr w:type="spellEnd"/>
      <w:r w:rsidRPr="0053251A">
        <w:rPr>
          <w:rFonts w:ascii="Times New Roman" w:hAnsi="Times New Roman" w:cs="Times New Roman"/>
          <w:sz w:val="24"/>
          <w:szCs w:val="24"/>
        </w:rPr>
        <w:t xml:space="preserve"> R, Hood G, Penrose KJ, et al. Cost-effectiveness of injectable preexposure prophylaxis for HIV prevention in South Africa. Clin Infect Dis. 2016;63(4):539–547.</w:t>
      </w:r>
    </w:p>
    <w:p w14:paraId="66A1F6CD"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47. </w:t>
      </w:r>
      <w:r w:rsidRPr="00DB43EC">
        <w:rPr>
          <w:rFonts w:ascii="Times New Roman" w:eastAsia="Times New Roman" w:hAnsi="Times New Roman" w:cs="Times New Roman"/>
          <w:sz w:val="24"/>
          <w:szCs w:val="24"/>
          <w:lang w:val="en-GB" w:eastAsia="en-GB"/>
        </w:rPr>
        <w:t xml:space="preserve"> Fischer AE, et al. Mobile health intervention tools promoting HIV pre-exposure prophylaxis among adolescent girls and young women in sub-Saharan Africa: scoping review. JMIR </w:t>
      </w:r>
      <w:proofErr w:type="spellStart"/>
      <w:r w:rsidRPr="00DB43EC">
        <w:rPr>
          <w:rFonts w:ascii="Times New Roman" w:eastAsia="Times New Roman" w:hAnsi="Times New Roman" w:cs="Times New Roman"/>
          <w:sz w:val="24"/>
          <w:szCs w:val="24"/>
          <w:lang w:val="en-GB" w:eastAsia="en-GB"/>
        </w:rPr>
        <w:t>Mhealth</w:t>
      </w:r>
      <w:proofErr w:type="spellEnd"/>
      <w:r w:rsidRPr="00DB43EC">
        <w:rPr>
          <w:rFonts w:ascii="Times New Roman" w:eastAsia="Times New Roman" w:hAnsi="Times New Roman" w:cs="Times New Roman"/>
          <w:sz w:val="24"/>
          <w:szCs w:val="24"/>
          <w:lang w:val="en-GB" w:eastAsia="en-GB"/>
        </w:rPr>
        <w:t xml:space="preserve"> </w:t>
      </w:r>
      <w:proofErr w:type="spellStart"/>
      <w:r w:rsidRPr="00DB43EC">
        <w:rPr>
          <w:rFonts w:ascii="Times New Roman" w:eastAsia="Times New Roman" w:hAnsi="Times New Roman" w:cs="Times New Roman"/>
          <w:sz w:val="24"/>
          <w:szCs w:val="24"/>
          <w:lang w:val="en-GB" w:eastAsia="en-GB"/>
        </w:rPr>
        <w:t>Uhealth</w:t>
      </w:r>
      <w:proofErr w:type="spellEnd"/>
      <w:r w:rsidRPr="00DB43EC">
        <w:rPr>
          <w:rFonts w:ascii="Times New Roman" w:eastAsia="Times New Roman" w:hAnsi="Times New Roman" w:cs="Times New Roman"/>
          <w:sz w:val="24"/>
          <w:szCs w:val="24"/>
          <w:lang w:val="en-GB" w:eastAsia="en-GB"/>
        </w:rPr>
        <w:t>. 2025;</w:t>
      </w:r>
      <w:proofErr w:type="gramStart"/>
      <w:r w:rsidRPr="00DB43EC">
        <w:rPr>
          <w:rFonts w:ascii="Times New Roman" w:eastAsia="Times New Roman" w:hAnsi="Times New Roman" w:cs="Times New Roman"/>
          <w:sz w:val="24"/>
          <w:szCs w:val="24"/>
          <w:lang w:val="en-GB" w:eastAsia="en-GB"/>
        </w:rPr>
        <w:t>13:e</w:t>
      </w:r>
      <w:proofErr w:type="gramEnd"/>
      <w:r w:rsidRPr="00DB43EC">
        <w:rPr>
          <w:rFonts w:ascii="Times New Roman" w:eastAsia="Times New Roman" w:hAnsi="Times New Roman" w:cs="Times New Roman"/>
          <w:sz w:val="24"/>
          <w:szCs w:val="24"/>
          <w:lang w:val="en-GB" w:eastAsia="en-GB"/>
        </w:rPr>
        <w:t xml:space="preserve">60819. </w:t>
      </w:r>
    </w:p>
    <w:p w14:paraId="6276A1BA"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48. </w:t>
      </w:r>
      <w:r w:rsidRPr="00DB43EC">
        <w:rPr>
          <w:rFonts w:ascii="Times New Roman" w:eastAsia="Times New Roman" w:hAnsi="Times New Roman" w:cs="Times New Roman"/>
          <w:sz w:val="24"/>
          <w:szCs w:val="24"/>
          <w:lang w:val="en-GB" w:eastAsia="en-GB"/>
        </w:rPr>
        <w:t xml:space="preserve">van Heerden A, et al. Chatbots for HIV prevention and care: a narrative review. Curr HIV/AIDS Rep. 2023. </w:t>
      </w:r>
    </w:p>
    <w:p w14:paraId="2FA9CB82"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49. </w:t>
      </w:r>
      <w:r w:rsidRPr="00DB43EC">
        <w:rPr>
          <w:rFonts w:ascii="Times New Roman" w:eastAsia="Times New Roman" w:hAnsi="Times New Roman" w:cs="Times New Roman"/>
          <w:sz w:val="24"/>
          <w:szCs w:val="24"/>
          <w:lang w:val="en-GB" w:eastAsia="en-GB"/>
        </w:rPr>
        <w:t>Ni Z, et al. Formative evaluation of the acceptance of HIV prevention artificial intelligence chatbots by men who have sex with men in Malaysia: focus group study. JMIR Form Res. 2022;6(10</w:t>
      </w:r>
      <w:proofErr w:type="gramStart"/>
      <w:r w:rsidRPr="00DB43EC">
        <w:rPr>
          <w:rFonts w:ascii="Times New Roman" w:eastAsia="Times New Roman" w:hAnsi="Times New Roman" w:cs="Times New Roman"/>
          <w:sz w:val="24"/>
          <w:szCs w:val="24"/>
          <w:lang w:val="en-GB" w:eastAsia="en-GB"/>
        </w:rPr>
        <w:t>):e</w:t>
      </w:r>
      <w:proofErr w:type="gramEnd"/>
      <w:r w:rsidRPr="00DB43EC">
        <w:rPr>
          <w:rFonts w:ascii="Times New Roman" w:eastAsia="Times New Roman" w:hAnsi="Times New Roman" w:cs="Times New Roman"/>
          <w:sz w:val="24"/>
          <w:szCs w:val="24"/>
          <w:lang w:val="en-GB" w:eastAsia="en-GB"/>
        </w:rPr>
        <w:t xml:space="preserve">42055. </w:t>
      </w:r>
    </w:p>
    <w:p w14:paraId="4594AB8B"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50.</w:t>
      </w:r>
      <w:r w:rsidRPr="00DB43EC">
        <w:rPr>
          <w:rFonts w:ascii="Times New Roman" w:eastAsia="Times New Roman" w:hAnsi="Times New Roman" w:cs="Times New Roman"/>
          <w:sz w:val="24"/>
          <w:szCs w:val="24"/>
          <w:lang w:val="en-GB" w:eastAsia="en-GB"/>
        </w:rPr>
        <w:t xml:space="preserve"> </w:t>
      </w:r>
      <w:proofErr w:type="spellStart"/>
      <w:r w:rsidRPr="00DB43EC">
        <w:rPr>
          <w:rFonts w:ascii="Times New Roman" w:eastAsia="Times New Roman" w:hAnsi="Times New Roman" w:cs="Times New Roman"/>
          <w:sz w:val="24"/>
          <w:szCs w:val="24"/>
          <w:lang w:val="en-GB" w:eastAsia="en-GB"/>
        </w:rPr>
        <w:t>Bershteyn</w:t>
      </w:r>
      <w:proofErr w:type="spellEnd"/>
      <w:r w:rsidRPr="00DB43EC">
        <w:rPr>
          <w:rFonts w:ascii="Times New Roman" w:eastAsia="Times New Roman" w:hAnsi="Times New Roman" w:cs="Times New Roman"/>
          <w:sz w:val="24"/>
          <w:szCs w:val="24"/>
          <w:lang w:val="en-GB" w:eastAsia="en-GB"/>
        </w:rPr>
        <w:t xml:space="preserve"> A, et al. Impact along the HIV pre-exposure prophylaxis “cascade of prevention” in western Kenya. J Int AIDS Soc. 2020. </w:t>
      </w:r>
    </w:p>
    <w:p w14:paraId="3428D1D8" w14:textId="77777777" w:rsidR="00DB43EC" w:rsidRPr="0053251A" w:rsidRDefault="00DB43EC" w:rsidP="00686D04">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eastAsia="Times New Roman" w:hAnsi="Times New Roman" w:cs="Times New Roman"/>
          <w:sz w:val="24"/>
          <w:szCs w:val="24"/>
          <w:lang w:val="en-GB" w:eastAsia="en-GB"/>
        </w:rPr>
        <w:t xml:space="preserve">51. </w:t>
      </w:r>
      <w:proofErr w:type="spellStart"/>
      <w:r w:rsidRPr="00DB43EC">
        <w:rPr>
          <w:rFonts w:ascii="Times New Roman" w:eastAsia="Times New Roman" w:hAnsi="Times New Roman" w:cs="Times New Roman"/>
          <w:sz w:val="24"/>
          <w:szCs w:val="24"/>
          <w:lang w:val="en-GB" w:eastAsia="en-GB"/>
        </w:rPr>
        <w:t>Celum</w:t>
      </w:r>
      <w:proofErr w:type="spellEnd"/>
      <w:r w:rsidRPr="00DB43EC">
        <w:rPr>
          <w:rFonts w:ascii="Times New Roman" w:eastAsia="Times New Roman" w:hAnsi="Times New Roman" w:cs="Times New Roman"/>
          <w:sz w:val="24"/>
          <w:szCs w:val="24"/>
          <w:lang w:val="en-GB" w:eastAsia="en-GB"/>
        </w:rPr>
        <w:t xml:space="preserve"> C, et al. </w:t>
      </w:r>
      <w:proofErr w:type="spellStart"/>
      <w:r w:rsidRPr="00DB43EC">
        <w:rPr>
          <w:rFonts w:ascii="Times New Roman" w:eastAsia="Times New Roman" w:hAnsi="Times New Roman" w:cs="Times New Roman"/>
          <w:sz w:val="24"/>
          <w:szCs w:val="24"/>
          <w:lang w:val="en-GB" w:eastAsia="en-GB"/>
        </w:rPr>
        <w:t>PrEP</w:t>
      </w:r>
      <w:proofErr w:type="spellEnd"/>
      <w:r w:rsidRPr="00DB43EC">
        <w:rPr>
          <w:rFonts w:ascii="Times New Roman" w:eastAsia="Times New Roman" w:hAnsi="Times New Roman" w:cs="Times New Roman"/>
          <w:sz w:val="24"/>
          <w:szCs w:val="24"/>
          <w:lang w:val="en-GB" w:eastAsia="en-GB"/>
        </w:rPr>
        <w:t xml:space="preserve"> uptake, persistence, adherence, and effect of retrospective drug level feedback on </w:t>
      </w:r>
      <w:proofErr w:type="spellStart"/>
      <w:r w:rsidRPr="00DB43EC">
        <w:rPr>
          <w:rFonts w:ascii="Times New Roman" w:eastAsia="Times New Roman" w:hAnsi="Times New Roman" w:cs="Times New Roman"/>
          <w:sz w:val="24"/>
          <w:szCs w:val="24"/>
          <w:lang w:val="en-GB" w:eastAsia="en-GB"/>
        </w:rPr>
        <w:t>PrEP</w:t>
      </w:r>
      <w:proofErr w:type="spellEnd"/>
      <w:r w:rsidRPr="00DB43EC">
        <w:rPr>
          <w:rFonts w:ascii="Times New Roman" w:eastAsia="Times New Roman" w:hAnsi="Times New Roman" w:cs="Times New Roman"/>
          <w:sz w:val="24"/>
          <w:szCs w:val="24"/>
          <w:lang w:val="en-GB" w:eastAsia="en-GB"/>
        </w:rPr>
        <w:t xml:space="preserve"> adherence among young women in southern Africa: results from HPTN 082. J Int AIDS Soc. 2021. </w:t>
      </w:r>
    </w:p>
    <w:p w14:paraId="6E00B680" w14:textId="6847FC2C" w:rsidR="00516A56" w:rsidRPr="0053251A" w:rsidRDefault="00DB43EC" w:rsidP="0053251A">
      <w:pPr>
        <w:spacing w:after="0" w:line="240" w:lineRule="auto"/>
        <w:ind w:left="360" w:hanging="360"/>
        <w:rPr>
          <w:rFonts w:ascii="Times New Roman" w:eastAsia="Times New Roman" w:hAnsi="Times New Roman" w:cs="Times New Roman"/>
          <w:sz w:val="24"/>
          <w:szCs w:val="24"/>
          <w:lang w:val="en-GB" w:eastAsia="en-GB"/>
        </w:rPr>
      </w:pPr>
      <w:r w:rsidRPr="0053251A">
        <w:rPr>
          <w:rFonts w:ascii="Times New Roman" w:hAnsi="Times New Roman" w:cs="Times New Roman"/>
          <w:sz w:val="24"/>
          <w:szCs w:val="24"/>
        </w:rPr>
        <w:t xml:space="preserve">52. </w:t>
      </w:r>
      <w:r w:rsidRPr="0053251A">
        <w:rPr>
          <w:rFonts w:ascii="Times New Roman" w:hAnsi="Times New Roman" w:cs="Times New Roman"/>
          <w:sz w:val="24"/>
          <w:szCs w:val="24"/>
        </w:rPr>
        <w:t>Pretorius C, et al. Modelling impact and cost-effectiveness of oral pre-exposure prophylaxis in 13 countries. J Int AIDS Soc. 2020</w:t>
      </w:r>
    </w:p>
    <w:p w14:paraId="25C4CA08" w14:textId="77777777" w:rsidR="00516A56" w:rsidRDefault="00516A56" w:rsidP="00686D04">
      <w:pPr>
        <w:spacing w:after="0" w:line="240" w:lineRule="auto"/>
        <w:rPr>
          <w:rFonts w:ascii="Times New Roman" w:hAnsi="Times New Roman" w:cs="Times New Roman"/>
          <w:b/>
          <w:bCs/>
          <w:color w:val="000000" w:themeColor="text1"/>
          <w:sz w:val="24"/>
          <w:szCs w:val="24"/>
        </w:rPr>
      </w:pPr>
    </w:p>
    <w:p w14:paraId="73232E5A" w14:textId="5E8239EA" w:rsidR="00416340" w:rsidRDefault="00000000" w:rsidP="0053251A">
      <w:pPr>
        <w:spacing w:after="0" w:line="240" w:lineRule="auto"/>
        <w:jc w:val="center"/>
        <w:rPr>
          <w:rFonts w:ascii="Times New Roman" w:hAnsi="Times New Roman" w:cs="Times New Roman"/>
          <w:b/>
          <w:bCs/>
          <w:color w:val="000000" w:themeColor="text1"/>
          <w:sz w:val="24"/>
          <w:szCs w:val="24"/>
        </w:rPr>
      </w:pPr>
      <w:r w:rsidRPr="00F34F70">
        <w:rPr>
          <w:rFonts w:ascii="Times New Roman" w:hAnsi="Times New Roman" w:cs="Times New Roman"/>
          <w:b/>
          <w:bCs/>
          <w:color w:val="000000" w:themeColor="text1"/>
          <w:sz w:val="24"/>
          <w:szCs w:val="24"/>
        </w:rPr>
        <w:lastRenderedPageBreak/>
        <w:t>Supplementary material</w:t>
      </w:r>
    </w:p>
    <w:p w14:paraId="5F8A62B1" w14:textId="77777777" w:rsidR="0053251A" w:rsidRPr="00F34F70" w:rsidRDefault="0053251A" w:rsidP="00686D04">
      <w:pPr>
        <w:spacing w:after="0" w:line="240" w:lineRule="auto"/>
        <w:rPr>
          <w:rFonts w:ascii="Times New Roman" w:hAnsi="Times New Roman" w:cs="Times New Roman"/>
          <w:b/>
          <w:bCs/>
          <w:color w:val="000000" w:themeColor="text1"/>
          <w:sz w:val="24"/>
          <w:szCs w:val="24"/>
        </w:rPr>
      </w:pPr>
    </w:p>
    <w:p w14:paraId="278615EB" w14:textId="77777777" w:rsidR="0053251A" w:rsidRDefault="0053251A" w:rsidP="00686D04">
      <w:pPr>
        <w:pStyle w:val="NormalWeb"/>
        <w:spacing w:before="0" w:beforeAutospacing="0" w:after="0" w:afterAutospacing="0"/>
        <w:jc w:val="both"/>
        <w:rPr>
          <w:rStyle w:val="Strong"/>
          <w:b w:val="0"/>
          <w:bCs w:val="0"/>
        </w:rPr>
      </w:pPr>
    </w:p>
    <w:p w14:paraId="78D2477C" w14:textId="77777777" w:rsidR="0053251A" w:rsidRPr="00796CDC" w:rsidRDefault="0053251A" w:rsidP="0053251A">
      <w:pPr>
        <w:pStyle w:val="Heading2"/>
        <w:spacing w:line="240" w:lineRule="auto"/>
        <w:jc w:val="both"/>
        <w:rPr>
          <w:rFonts w:ascii="Times New Roman" w:hAnsi="Times New Roman" w:cs="Times New Roman"/>
          <w:b w:val="0"/>
          <w:bCs w:val="0"/>
          <w:color w:val="000000" w:themeColor="text1"/>
          <w:sz w:val="24"/>
          <w:szCs w:val="24"/>
        </w:rPr>
      </w:pPr>
      <w:r w:rsidRPr="00796CDC">
        <w:rPr>
          <w:rFonts w:ascii="Times New Roman" w:hAnsi="Times New Roman" w:cs="Times New Roman"/>
          <w:b w:val="0"/>
          <w:bCs w:val="0"/>
          <w:color w:val="000000" w:themeColor="text1"/>
          <w:sz w:val="24"/>
          <w:szCs w:val="24"/>
        </w:rPr>
        <w:t xml:space="preserve">Table </w:t>
      </w:r>
      <w:r>
        <w:rPr>
          <w:rFonts w:ascii="Times New Roman" w:hAnsi="Times New Roman" w:cs="Times New Roman"/>
          <w:b w:val="0"/>
          <w:bCs w:val="0"/>
          <w:color w:val="000000" w:themeColor="text1"/>
          <w:sz w:val="24"/>
          <w:szCs w:val="24"/>
        </w:rPr>
        <w:t>1S</w:t>
      </w:r>
      <w:r w:rsidRPr="00796CDC">
        <w:rPr>
          <w:rFonts w:ascii="Times New Roman" w:hAnsi="Times New Roman" w:cs="Times New Roman"/>
          <w:b w:val="0"/>
          <w:bCs w:val="0"/>
          <w:color w:val="000000" w:themeColor="text1"/>
          <w:sz w:val="24"/>
          <w:szCs w:val="24"/>
        </w:rPr>
        <w:t>. Model parameters</w:t>
      </w:r>
      <w:r>
        <w:rPr>
          <w:rFonts w:ascii="Times New Roman" w:hAnsi="Times New Roman" w:cs="Times New Roman"/>
          <w:b w:val="0"/>
          <w:bCs w:val="0"/>
          <w:color w:val="000000" w:themeColor="text1"/>
          <w:sz w:val="24"/>
          <w:szCs w:val="24"/>
        </w:rPr>
        <w:t xml:space="preserve">. </w:t>
      </w:r>
      <w:r w:rsidRPr="00796CDC">
        <w:rPr>
          <w:rFonts w:ascii="Times New Roman" w:hAnsi="Times New Roman" w:cs="Times New Roman"/>
          <w:b w:val="0"/>
          <w:bCs w:val="0"/>
          <w:color w:val="000000" w:themeColor="text1"/>
          <w:sz w:val="24"/>
          <w:szCs w:val="24"/>
        </w:rPr>
        <w:t>Per-time-step rates are weekly. Values are from the calibrated model; “calibrated” indicates a value fit to the SA trajectory, “data”</w:t>
      </w:r>
      <w:proofErr w:type="gramStart"/>
      <w:r w:rsidRPr="00796CDC">
        <w:rPr>
          <w:rFonts w:ascii="Times New Roman" w:hAnsi="Times New Roman" w:cs="Times New Roman"/>
          <w:b w:val="0"/>
          <w:bCs w:val="0"/>
          <w:color w:val="000000" w:themeColor="text1"/>
          <w:sz w:val="24"/>
          <w:szCs w:val="24"/>
        </w:rPr>
        <w:t>/“</w:t>
      </w:r>
      <w:proofErr w:type="gramEnd"/>
      <w:r w:rsidRPr="00796CDC">
        <w:rPr>
          <w:rFonts w:ascii="Times New Roman" w:hAnsi="Times New Roman" w:cs="Times New Roman"/>
          <w:b w:val="0"/>
          <w:bCs w:val="0"/>
          <w:color w:val="000000" w:themeColor="text1"/>
          <w:sz w:val="24"/>
          <w:szCs w:val="24"/>
        </w:rPr>
        <w:t>literature” indicates a fixed input.</w:t>
      </w:r>
    </w:p>
    <w:tbl>
      <w:tblPr>
        <w:tblStyle w:val="TableGrid"/>
        <w:tblW w:w="0" w:type="auto"/>
        <w:tblLook w:val="04A0" w:firstRow="1" w:lastRow="0" w:firstColumn="1" w:lastColumn="0" w:noHBand="0" w:noVBand="1"/>
      </w:tblPr>
      <w:tblGrid>
        <w:gridCol w:w="3360"/>
        <w:gridCol w:w="1962"/>
        <w:gridCol w:w="3308"/>
      </w:tblGrid>
      <w:tr w:rsidR="0053251A" w:rsidRPr="00796CDC" w14:paraId="61F290AA" w14:textId="77777777" w:rsidTr="00704478">
        <w:tc>
          <w:tcPr>
            <w:tcW w:w="3744" w:type="dxa"/>
          </w:tcPr>
          <w:p w14:paraId="360D55D6" w14:textId="77777777" w:rsidR="0053251A" w:rsidRPr="001F0632" w:rsidRDefault="0053251A" w:rsidP="00704478">
            <w:pPr>
              <w:spacing w:after="0" w:line="240" w:lineRule="auto"/>
              <w:rPr>
                <w:rFonts w:ascii="Times New Roman" w:hAnsi="Times New Roman" w:cs="Times New Roman"/>
                <w:b/>
                <w:bCs/>
                <w:color w:val="000000" w:themeColor="text1"/>
                <w:sz w:val="24"/>
                <w:szCs w:val="24"/>
              </w:rPr>
            </w:pPr>
            <w:r w:rsidRPr="001F0632">
              <w:rPr>
                <w:rFonts w:ascii="Times New Roman" w:hAnsi="Times New Roman" w:cs="Times New Roman"/>
                <w:b/>
                <w:bCs/>
                <w:color w:val="000000" w:themeColor="text1"/>
                <w:sz w:val="24"/>
                <w:szCs w:val="24"/>
              </w:rPr>
              <w:t>Parameter</w:t>
            </w:r>
          </w:p>
        </w:tc>
        <w:tc>
          <w:tcPr>
            <w:tcW w:w="2160" w:type="dxa"/>
          </w:tcPr>
          <w:p w14:paraId="38A2BAE6" w14:textId="77777777" w:rsidR="0053251A" w:rsidRPr="001F0632" w:rsidRDefault="0053251A" w:rsidP="00704478">
            <w:pPr>
              <w:spacing w:after="0" w:line="240" w:lineRule="auto"/>
              <w:rPr>
                <w:rFonts w:ascii="Times New Roman" w:hAnsi="Times New Roman" w:cs="Times New Roman"/>
                <w:b/>
                <w:bCs/>
                <w:color w:val="000000" w:themeColor="text1"/>
                <w:sz w:val="24"/>
                <w:szCs w:val="24"/>
              </w:rPr>
            </w:pPr>
            <w:r w:rsidRPr="001F0632">
              <w:rPr>
                <w:rFonts w:ascii="Times New Roman" w:hAnsi="Times New Roman" w:cs="Times New Roman"/>
                <w:b/>
                <w:bCs/>
                <w:color w:val="000000" w:themeColor="text1"/>
                <w:sz w:val="24"/>
                <w:szCs w:val="24"/>
              </w:rPr>
              <w:t>Value</w:t>
            </w:r>
          </w:p>
        </w:tc>
        <w:tc>
          <w:tcPr>
            <w:tcW w:w="3600" w:type="dxa"/>
          </w:tcPr>
          <w:p w14:paraId="55E8E052" w14:textId="77777777" w:rsidR="0053251A" w:rsidRPr="001F0632" w:rsidRDefault="0053251A" w:rsidP="00704478">
            <w:pPr>
              <w:spacing w:after="0" w:line="240" w:lineRule="auto"/>
              <w:rPr>
                <w:rFonts w:ascii="Times New Roman" w:hAnsi="Times New Roman" w:cs="Times New Roman"/>
                <w:b/>
                <w:bCs/>
                <w:color w:val="000000" w:themeColor="text1"/>
                <w:sz w:val="24"/>
                <w:szCs w:val="24"/>
              </w:rPr>
            </w:pPr>
            <w:r w:rsidRPr="001F0632">
              <w:rPr>
                <w:rFonts w:ascii="Times New Roman" w:hAnsi="Times New Roman" w:cs="Times New Roman"/>
                <w:b/>
                <w:bCs/>
                <w:color w:val="000000" w:themeColor="text1"/>
                <w:sz w:val="24"/>
                <w:szCs w:val="24"/>
              </w:rPr>
              <w:t xml:space="preserve">Source </w:t>
            </w:r>
          </w:p>
        </w:tc>
      </w:tr>
      <w:tr w:rsidR="0053251A" w:rsidRPr="00796CDC" w14:paraId="0839EE59" w14:textId="77777777" w:rsidTr="00704478">
        <w:tc>
          <w:tcPr>
            <w:tcW w:w="3744" w:type="dxa"/>
          </w:tcPr>
          <w:p w14:paraId="31A4B2A9"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Per-act transmission probability</w:t>
            </w:r>
          </w:p>
        </w:tc>
        <w:tc>
          <w:tcPr>
            <w:tcW w:w="2160" w:type="dxa"/>
          </w:tcPr>
          <w:p w14:paraId="1666BC43"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0.0035</w:t>
            </w:r>
          </w:p>
        </w:tc>
        <w:tc>
          <w:tcPr>
            <w:tcW w:w="3600" w:type="dxa"/>
          </w:tcPr>
          <w:p w14:paraId="7E511906"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Calibrated to SA trajectory</w:t>
            </w:r>
          </w:p>
        </w:tc>
      </w:tr>
      <w:tr w:rsidR="0053251A" w:rsidRPr="00796CDC" w14:paraId="7B08E5B3" w14:textId="77777777" w:rsidTr="00704478">
        <w:tc>
          <w:tcPr>
            <w:tcW w:w="3744" w:type="dxa"/>
          </w:tcPr>
          <w:p w14:paraId="317986DA"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Sex acts per week, main / casual</w:t>
            </w:r>
          </w:p>
        </w:tc>
        <w:tc>
          <w:tcPr>
            <w:tcW w:w="2160" w:type="dxa"/>
          </w:tcPr>
          <w:p w14:paraId="1E372DB8"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5 / 2</w:t>
            </w:r>
          </w:p>
        </w:tc>
        <w:tc>
          <w:tcPr>
            <w:tcW w:w="3600" w:type="dxa"/>
          </w:tcPr>
          <w:p w14:paraId="45E19B20"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Calibrated (plausible range)</w:t>
            </w:r>
          </w:p>
        </w:tc>
      </w:tr>
      <w:tr w:rsidR="0053251A" w:rsidRPr="00796CDC" w14:paraId="73E0730C" w14:textId="77777777" w:rsidTr="00704478">
        <w:tc>
          <w:tcPr>
            <w:tcW w:w="3744" w:type="dxa"/>
          </w:tcPr>
          <w:p w14:paraId="1F610462"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Relative infectiousness, acute / AIDS</w:t>
            </w:r>
          </w:p>
        </w:tc>
        <w:tc>
          <w:tcPr>
            <w:tcW w:w="2160" w:type="dxa"/>
          </w:tcPr>
          <w:p w14:paraId="67F1DCEB"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5× / 2×</w:t>
            </w:r>
          </w:p>
        </w:tc>
        <w:tc>
          <w:tcPr>
            <w:tcW w:w="3600" w:type="dxa"/>
          </w:tcPr>
          <w:p w14:paraId="44B521DA"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Literature</w:t>
            </w:r>
          </w:p>
        </w:tc>
      </w:tr>
      <w:tr w:rsidR="0053251A" w:rsidRPr="00796CDC" w14:paraId="7EE7D53E" w14:textId="77777777" w:rsidTr="00704478">
        <w:tc>
          <w:tcPr>
            <w:tcW w:w="3744" w:type="dxa"/>
          </w:tcPr>
          <w:p w14:paraId="04AA7ECF"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 xml:space="preserve">Rel. infectiousness on ART, </w:t>
            </w:r>
            <w:proofErr w:type="spellStart"/>
            <w:r w:rsidRPr="00796CDC">
              <w:rPr>
                <w:rFonts w:ascii="Times New Roman" w:hAnsi="Times New Roman" w:cs="Times New Roman"/>
                <w:color w:val="000000" w:themeColor="text1"/>
                <w:sz w:val="24"/>
                <w:szCs w:val="24"/>
              </w:rPr>
              <w:t>unsupp</w:t>
            </w:r>
            <w:proofErr w:type="spellEnd"/>
            <w:r w:rsidRPr="00796CDC">
              <w:rPr>
                <w:rFonts w:ascii="Times New Roman" w:hAnsi="Times New Roman" w:cs="Times New Roman"/>
                <w:color w:val="000000" w:themeColor="text1"/>
                <w:sz w:val="24"/>
                <w:szCs w:val="24"/>
              </w:rPr>
              <w:t>. / supp.</w:t>
            </w:r>
          </w:p>
        </w:tc>
        <w:tc>
          <w:tcPr>
            <w:tcW w:w="2160" w:type="dxa"/>
          </w:tcPr>
          <w:p w14:paraId="1BCF90CF"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0.30 / 0.01</w:t>
            </w:r>
          </w:p>
        </w:tc>
        <w:tc>
          <w:tcPr>
            <w:tcW w:w="3600" w:type="dxa"/>
          </w:tcPr>
          <w:p w14:paraId="04F3253A"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Literature (</w:t>
            </w:r>
            <w:proofErr w:type="spellStart"/>
            <w:r w:rsidRPr="00796CDC">
              <w:rPr>
                <w:rFonts w:ascii="Times New Roman" w:hAnsi="Times New Roman" w:cs="Times New Roman"/>
                <w:color w:val="000000" w:themeColor="text1"/>
                <w:sz w:val="24"/>
                <w:szCs w:val="24"/>
              </w:rPr>
              <w:t>TasP</w:t>
            </w:r>
            <w:proofErr w:type="spellEnd"/>
            <w:r w:rsidRPr="00796CDC">
              <w:rPr>
                <w:rFonts w:ascii="Times New Roman" w:hAnsi="Times New Roman" w:cs="Times New Roman"/>
                <w:color w:val="000000" w:themeColor="text1"/>
                <w:sz w:val="24"/>
                <w:szCs w:val="24"/>
              </w:rPr>
              <w:t>)</w:t>
            </w:r>
          </w:p>
        </w:tc>
      </w:tr>
      <w:tr w:rsidR="0053251A" w:rsidRPr="00796CDC" w14:paraId="7F819C84" w14:textId="77777777" w:rsidTr="00704478">
        <w:tc>
          <w:tcPr>
            <w:tcW w:w="3744" w:type="dxa"/>
          </w:tcPr>
          <w:p w14:paraId="1EECAE0D"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AGYW susceptibility, 15–19 / 20–24</w:t>
            </w:r>
          </w:p>
        </w:tc>
        <w:tc>
          <w:tcPr>
            <w:tcW w:w="2160" w:type="dxa"/>
          </w:tcPr>
          <w:p w14:paraId="78DDEC3B"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2.0 / 1.5</w:t>
            </w:r>
          </w:p>
        </w:tc>
        <w:tc>
          <w:tcPr>
            <w:tcW w:w="3600" w:type="dxa"/>
          </w:tcPr>
          <w:p w14:paraId="74BC8685"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Literature</w:t>
            </w:r>
          </w:p>
        </w:tc>
      </w:tr>
      <w:tr w:rsidR="0053251A" w:rsidRPr="00796CDC" w14:paraId="1BD15460" w14:textId="77777777" w:rsidTr="00704478">
        <w:tc>
          <w:tcPr>
            <w:tcW w:w="3744" w:type="dxa"/>
          </w:tcPr>
          <w:p w14:paraId="2A5E6C11" w14:textId="77777777" w:rsidR="0053251A" w:rsidRPr="00796CDC" w:rsidRDefault="0053251A" w:rsidP="00704478">
            <w:pPr>
              <w:spacing w:after="0" w:line="240" w:lineRule="auto"/>
              <w:rPr>
                <w:rFonts w:ascii="Times New Roman" w:hAnsi="Times New Roman" w:cs="Times New Roman"/>
                <w:color w:val="000000" w:themeColor="text1"/>
                <w:sz w:val="24"/>
                <w:szCs w:val="24"/>
              </w:rPr>
            </w:pPr>
            <w:proofErr w:type="spellStart"/>
            <w:r w:rsidRPr="00796CDC">
              <w:rPr>
                <w:rFonts w:ascii="Times New Roman" w:hAnsi="Times New Roman" w:cs="Times New Roman"/>
                <w:color w:val="000000" w:themeColor="text1"/>
                <w:sz w:val="24"/>
                <w:szCs w:val="24"/>
              </w:rPr>
              <w:t>PrEP</w:t>
            </w:r>
            <w:proofErr w:type="spellEnd"/>
            <w:r w:rsidRPr="00796CDC">
              <w:rPr>
                <w:rFonts w:ascii="Times New Roman" w:hAnsi="Times New Roman" w:cs="Times New Roman"/>
                <w:color w:val="000000" w:themeColor="text1"/>
                <w:sz w:val="24"/>
                <w:szCs w:val="24"/>
              </w:rPr>
              <w:t xml:space="preserve"> efficacy (per-act)</w:t>
            </w:r>
          </w:p>
        </w:tc>
        <w:tc>
          <w:tcPr>
            <w:tcW w:w="2160" w:type="dxa"/>
          </w:tcPr>
          <w:p w14:paraId="03648240"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0.95</w:t>
            </w:r>
          </w:p>
        </w:tc>
        <w:tc>
          <w:tcPr>
            <w:tcW w:w="3600" w:type="dxa"/>
          </w:tcPr>
          <w:p w14:paraId="41E57BF6"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Literature</w:t>
            </w:r>
          </w:p>
        </w:tc>
      </w:tr>
      <w:tr w:rsidR="0053251A" w:rsidRPr="00796CDC" w14:paraId="45FFD925" w14:textId="77777777" w:rsidTr="00704478">
        <w:tc>
          <w:tcPr>
            <w:tcW w:w="3744" w:type="dxa"/>
          </w:tcPr>
          <w:p w14:paraId="489EAFB5"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Mean degree, main / casual</w:t>
            </w:r>
          </w:p>
        </w:tc>
        <w:tc>
          <w:tcPr>
            <w:tcW w:w="2160" w:type="dxa"/>
          </w:tcPr>
          <w:p w14:paraId="0AC77B83"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0.50 / 0.35</w:t>
            </w:r>
          </w:p>
        </w:tc>
        <w:tc>
          <w:tcPr>
            <w:tcW w:w="3600" w:type="dxa"/>
          </w:tcPr>
          <w:p w14:paraId="21DA1261"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Aimee cohort (≈1.71 past-year partners)</w:t>
            </w:r>
          </w:p>
        </w:tc>
      </w:tr>
      <w:tr w:rsidR="0053251A" w:rsidRPr="00796CDC" w14:paraId="680836CD" w14:textId="77777777" w:rsidTr="00704478">
        <w:tc>
          <w:tcPr>
            <w:tcW w:w="3744" w:type="dxa"/>
          </w:tcPr>
          <w:p w14:paraId="033A4C58"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Concurrency, main / casual</w:t>
            </w:r>
          </w:p>
        </w:tc>
        <w:tc>
          <w:tcPr>
            <w:tcW w:w="2160" w:type="dxa"/>
          </w:tcPr>
          <w:p w14:paraId="6E8F6EA8"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4% / 10%</w:t>
            </w:r>
          </w:p>
        </w:tc>
        <w:tc>
          <w:tcPr>
            <w:tcW w:w="3600" w:type="dxa"/>
          </w:tcPr>
          <w:p w14:paraId="0F95270F"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Bounded by mean degree</w:t>
            </w:r>
          </w:p>
        </w:tc>
      </w:tr>
      <w:tr w:rsidR="0053251A" w:rsidRPr="00796CDC" w14:paraId="57B666B1" w14:textId="77777777" w:rsidTr="00704478">
        <w:tc>
          <w:tcPr>
            <w:tcW w:w="3744" w:type="dxa"/>
          </w:tcPr>
          <w:p w14:paraId="1E2B33D6"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Age-mixing breadth, main / casual</w:t>
            </w:r>
          </w:p>
        </w:tc>
        <w:tc>
          <w:tcPr>
            <w:tcW w:w="2160" w:type="dxa"/>
          </w:tcPr>
          <w:p w14:paraId="7A7058A7"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8 / 9</w:t>
            </w:r>
          </w:p>
        </w:tc>
        <w:tc>
          <w:tcPr>
            <w:tcW w:w="3600" w:type="dxa"/>
          </w:tcPr>
          <w:p w14:paraId="4305FC8C"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AGYW partner gap ≈7.7y; 34% men ≥30</w:t>
            </w:r>
          </w:p>
        </w:tc>
      </w:tr>
      <w:tr w:rsidR="0053251A" w:rsidRPr="00796CDC" w14:paraId="6744935A" w14:textId="77777777" w:rsidTr="00704478">
        <w:tc>
          <w:tcPr>
            <w:tcW w:w="3744" w:type="dxa"/>
          </w:tcPr>
          <w:p w14:paraId="0B8E7A5B"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Preferred partner age gap (AGYW)</w:t>
            </w:r>
          </w:p>
        </w:tc>
        <w:tc>
          <w:tcPr>
            <w:tcW w:w="2160" w:type="dxa"/>
          </w:tcPr>
          <w:p w14:paraId="73F8B7AB"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5 years</w:t>
            </w:r>
          </w:p>
        </w:tc>
        <w:tc>
          <w:tcPr>
            <w:tcW w:w="3600" w:type="dxa"/>
          </w:tcPr>
          <w:p w14:paraId="27AB0752"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SA age-disparate literature</w:t>
            </w:r>
          </w:p>
        </w:tc>
      </w:tr>
      <w:tr w:rsidR="0053251A" w:rsidRPr="00796CDC" w14:paraId="61976CD3" w14:textId="77777777" w:rsidTr="00704478">
        <w:tc>
          <w:tcPr>
            <w:tcW w:w="3744" w:type="dxa"/>
          </w:tcPr>
          <w:p w14:paraId="4CD5D73C"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Partnership duration, main / casual</w:t>
            </w:r>
          </w:p>
        </w:tc>
        <w:tc>
          <w:tcPr>
            <w:tcW w:w="2160" w:type="dxa"/>
          </w:tcPr>
          <w:p w14:paraId="42AEF615"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200 / 26 weeks</w:t>
            </w:r>
          </w:p>
        </w:tc>
        <w:tc>
          <w:tcPr>
            <w:tcW w:w="3600" w:type="dxa"/>
          </w:tcPr>
          <w:p w14:paraId="4D2362F0"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Literature</w:t>
            </w:r>
          </w:p>
        </w:tc>
      </w:tr>
      <w:tr w:rsidR="0053251A" w:rsidRPr="00796CDC" w14:paraId="6476B144" w14:textId="77777777" w:rsidTr="00704478">
        <w:tc>
          <w:tcPr>
            <w:tcW w:w="3744" w:type="dxa"/>
          </w:tcPr>
          <w:p w14:paraId="0936BA1D"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HIV testing/diagnosis rate</w:t>
            </w:r>
          </w:p>
        </w:tc>
        <w:tc>
          <w:tcPr>
            <w:tcW w:w="2160" w:type="dxa"/>
          </w:tcPr>
          <w:p w14:paraId="138EADC0"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0.01 / week</w:t>
            </w:r>
          </w:p>
        </w:tc>
        <w:tc>
          <w:tcPr>
            <w:tcW w:w="3600" w:type="dxa"/>
          </w:tcPr>
          <w:p w14:paraId="63AC4F9A"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Calibrated/literature</w:t>
            </w:r>
          </w:p>
        </w:tc>
      </w:tr>
      <w:tr w:rsidR="0053251A" w:rsidRPr="00796CDC" w14:paraId="67B786F9" w14:textId="77777777" w:rsidTr="00704478">
        <w:tc>
          <w:tcPr>
            <w:tcW w:w="3744" w:type="dxa"/>
          </w:tcPr>
          <w:p w14:paraId="387B743E"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Linkage to ART</w:t>
            </w:r>
          </w:p>
        </w:tc>
        <w:tc>
          <w:tcPr>
            <w:tcW w:w="2160" w:type="dxa"/>
          </w:tcPr>
          <w:p w14:paraId="73272FA2"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0.50 / week</w:t>
            </w:r>
          </w:p>
        </w:tc>
        <w:tc>
          <w:tcPr>
            <w:tcW w:w="3600" w:type="dxa"/>
          </w:tcPr>
          <w:p w14:paraId="415B5423"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Cascade</w:t>
            </w:r>
          </w:p>
        </w:tc>
      </w:tr>
      <w:tr w:rsidR="0053251A" w:rsidRPr="00796CDC" w14:paraId="6105F65B" w14:textId="77777777" w:rsidTr="00704478">
        <w:tc>
          <w:tcPr>
            <w:tcW w:w="3744" w:type="dxa"/>
          </w:tcPr>
          <w:p w14:paraId="06C1EA82"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Viral suppression</w:t>
            </w:r>
          </w:p>
        </w:tc>
        <w:tc>
          <w:tcPr>
            <w:tcW w:w="2160" w:type="dxa"/>
          </w:tcPr>
          <w:p w14:paraId="584E2DDB"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0.30 / week</w:t>
            </w:r>
          </w:p>
        </w:tc>
        <w:tc>
          <w:tcPr>
            <w:tcW w:w="3600" w:type="dxa"/>
          </w:tcPr>
          <w:p w14:paraId="4A41FFFA"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Cascade</w:t>
            </w:r>
          </w:p>
        </w:tc>
      </w:tr>
      <w:tr w:rsidR="0053251A" w:rsidRPr="00796CDC" w14:paraId="4B7783F5" w14:textId="77777777" w:rsidTr="00704478">
        <w:tc>
          <w:tcPr>
            <w:tcW w:w="3744" w:type="dxa"/>
          </w:tcPr>
          <w:p w14:paraId="3CC8E769"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ART discontinuation</w:t>
            </w:r>
          </w:p>
        </w:tc>
        <w:tc>
          <w:tcPr>
            <w:tcW w:w="2160" w:type="dxa"/>
          </w:tcPr>
          <w:p w14:paraId="026285A2"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0.01 / week</w:t>
            </w:r>
          </w:p>
        </w:tc>
        <w:tc>
          <w:tcPr>
            <w:tcW w:w="3600" w:type="dxa"/>
          </w:tcPr>
          <w:p w14:paraId="18AD4D34"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Cascade</w:t>
            </w:r>
          </w:p>
        </w:tc>
      </w:tr>
      <w:tr w:rsidR="0053251A" w:rsidRPr="00796CDC" w14:paraId="06B518AF" w14:textId="77777777" w:rsidTr="00704478">
        <w:tc>
          <w:tcPr>
            <w:tcW w:w="3744" w:type="dxa"/>
          </w:tcPr>
          <w:p w14:paraId="430E2419"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ART scale-up window</w:t>
            </w:r>
          </w:p>
        </w:tc>
        <w:tc>
          <w:tcPr>
            <w:tcW w:w="2160" w:type="dxa"/>
          </w:tcPr>
          <w:p w14:paraId="108BA19C"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ramp 2004 → 2014</w:t>
            </w:r>
          </w:p>
        </w:tc>
        <w:tc>
          <w:tcPr>
            <w:tcW w:w="3600" w:type="dxa"/>
          </w:tcPr>
          <w:p w14:paraId="57C39EEF"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SA roll-out</w:t>
            </w:r>
          </w:p>
        </w:tc>
      </w:tr>
      <w:tr w:rsidR="0053251A" w:rsidRPr="00796CDC" w14:paraId="135553F9" w14:textId="77777777" w:rsidTr="00704478">
        <w:tc>
          <w:tcPr>
            <w:tcW w:w="3744" w:type="dxa"/>
          </w:tcPr>
          <w:p w14:paraId="6C80AD97" w14:textId="77777777" w:rsidR="0053251A" w:rsidRPr="00796CDC" w:rsidRDefault="0053251A" w:rsidP="00704478">
            <w:pPr>
              <w:spacing w:after="0" w:line="240" w:lineRule="auto"/>
              <w:rPr>
                <w:rFonts w:ascii="Times New Roman" w:hAnsi="Times New Roman" w:cs="Times New Roman"/>
                <w:color w:val="000000" w:themeColor="text1"/>
                <w:sz w:val="24"/>
                <w:szCs w:val="24"/>
              </w:rPr>
            </w:pPr>
            <w:proofErr w:type="spellStart"/>
            <w:r w:rsidRPr="00796CDC">
              <w:rPr>
                <w:rFonts w:ascii="Times New Roman" w:hAnsi="Times New Roman" w:cs="Times New Roman"/>
                <w:color w:val="000000" w:themeColor="text1"/>
                <w:sz w:val="24"/>
                <w:szCs w:val="24"/>
              </w:rPr>
              <w:t>PrEP</w:t>
            </w:r>
            <w:proofErr w:type="spellEnd"/>
            <w:r w:rsidRPr="00796CDC">
              <w:rPr>
                <w:rFonts w:ascii="Times New Roman" w:hAnsi="Times New Roman" w:cs="Times New Roman"/>
                <w:color w:val="000000" w:themeColor="text1"/>
                <w:sz w:val="24"/>
                <w:szCs w:val="24"/>
              </w:rPr>
              <w:t xml:space="preserve"> initiation rate</w:t>
            </w:r>
          </w:p>
        </w:tc>
        <w:tc>
          <w:tcPr>
            <w:tcW w:w="2160" w:type="dxa"/>
          </w:tcPr>
          <w:p w14:paraId="1F9066A7"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0.005 / week</w:t>
            </w:r>
          </w:p>
        </w:tc>
        <w:tc>
          <w:tcPr>
            <w:tcW w:w="3600" w:type="dxa"/>
          </w:tcPr>
          <w:p w14:paraId="01BEE49F"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Literature</w:t>
            </w:r>
          </w:p>
        </w:tc>
      </w:tr>
      <w:tr w:rsidR="0053251A" w:rsidRPr="00796CDC" w14:paraId="3A58B825" w14:textId="77777777" w:rsidTr="00704478">
        <w:tc>
          <w:tcPr>
            <w:tcW w:w="3744" w:type="dxa"/>
          </w:tcPr>
          <w:p w14:paraId="4B833161" w14:textId="77777777" w:rsidR="0053251A" w:rsidRPr="00796CDC" w:rsidRDefault="0053251A" w:rsidP="00704478">
            <w:pPr>
              <w:spacing w:after="0" w:line="240" w:lineRule="auto"/>
              <w:rPr>
                <w:rFonts w:ascii="Times New Roman" w:hAnsi="Times New Roman" w:cs="Times New Roman"/>
                <w:color w:val="000000" w:themeColor="text1"/>
                <w:sz w:val="24"/>
                <w:szCs w:val="24"/>
              </w:rPr>
            </w:pPr>
            <w:proofErr w:type="spellStart"/>
            <w:r w:rsidRPr="00796CDC">
              <w:rPr>
                <w:rFonts w:ascii="Times New Roman" w:hAnsi="Times New Roman" w:cs="Times New Roman"/>
                <w:color w:val="000000" w:themeColor="text1"/>
                <w:sz w:val="24"/>
                <w:szCs w:val="24"/>
              </w:rPr>
              <w:t>PrEP</w:t>
            </w:r>
            <w:proofErr w:type="spellEnd"/>
            <w:r w:rsidRPr="00796CDC">
              <w:rPr>
                <w:rFonts w:ascii="Times New Roman" w:hAnsi="Times New Roman" w:cs="Times New Roman"/>
                <w:color w:val="000000" w:themeColor="text1"/>
                <w:sz w:val="24"/>
                <w:szCs w:val="24"/>
              </w:rPr>
              <w:t xml:space="preserve"> discontinuation rate</w:t>
            </w:r>
          </w:p>
        </w:tc>
        <w:tc>
          <w:tcPr>
            <w:tcW w:w="2160" w:type="dxa"/>
          </w:tcPr>
          <w:p w14:paraId="030A3062"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0.027 / week</w:t>
            </w:r>
          </w:p>
        </w:tc>
        <w:tc>
          <w:tcPr>
            <w:tcW w:w="3600" w:type="dxa"/>
          </w:tcPr>
          <w:p w14:paraId="38EEC06C"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 xml:space="preserve">≈6-mo median retention (SA oral </w:t>
            </w:r>
            <w:proofErr w:type="spellStart"/>
            <w:r w:rsidRPr="00796CDC">
              <w:rPr>
                <w:rFonts w:ascii="Times New Roman" w:hAnsi="Times New Roman" w:cs="Times New Roman"/>
                <w:color w:val="000000" w:themeColor="text1"/>
                <w:sz w:val="24"/>
                <w:szCs w:val="24"/>
              </w:rPr>
              <w:t>PrEP</w:t>
            </w:r>
            <w:proofErr w:type="spellEnd"/>
            <w:r w:rsidRPr="00796CDC">
              <w:rPr>
                <w:rFonts w:ascii="Times New Roman" w:hAnsi="Times New Roman" w:cs="Times New Roman"/>
                <w:color w:val="000000" w:themeColor="text1"/>
                <w:sz w:val="24"/>
                <w:szCs w:val="24"/>
              </w:rPr>
              <w:t>)</w:t>
            </w:r>
          </w:p>
        </w:tc>
      </w:tr>
      <w:tr w:rsidR="0053251A" w:rsidRPr="00796CDC" w14:paraId="0A1D2912" w14:textId="77777777" w:rsidTr="00704478">
        <w:tc>
          <w:tcPr>
            <w:tcW w:w="3744" w:type="dxa"/>
          </w:tcPr>
          <w:p w14:paraId="789D23CD"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HIV seed year / prevalence</w:t>
            </w:r>
          </w:p>
        </w:tc>
        <w:tc>
          <w:tcPr>
            <w:tcW w:w="2160" w:type="dxa"/>
          </w:tcPr>
          <w:p w14:paraId="3F7370CD"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1990 / 0.8%</w:t>
            </w:r>
          </w:p>
        </w:tc>
        <w:tc>
          <w:tcPr>
            <w:tcW w:w="3600" w:type="dxa"/>
          </w:tcPr>
          <w:p w14:paraId="4ABB2F94"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Calibration setup</w:t>
            </w:r>
          </w:p>
        </w:tc>
      </w:tr>
      <w:tr w:rsidR="0053251A" w:rsidRPr="00796CDC" w14:paraId="3FEDC275" w14:textId="77777777" w:rsidTr="00704478">
        <w:tc>
          <w:tcPr>
            <w:tcW w:w="3744" w:type="dxa"/>
          </w:tcPr>
          <w:p w14:paraId="1BBD4506"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Demographic burn-in</w:t>
            </w:r>
          </w:p>
        </w:tc>
        <w:tc>
          <w:tcPr>
            <w:tcW w:w="2160" w:type="dxa"/>
          </w:tcPr>
          <w:p w14:paraId="470DB479"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1965–1990 (HIV-free)</w:t>
            </w:r>
          </w:p>
        </w:tc>
        <w:tc>
          <w:tcPr>
            <w:tcW w:w="3600" w:type="dxa"/>
          </w:tcPr>
          <w:p w14:paraId="73D14FC2"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Calibration setup</w:t>
            </w:r>
          </w:p>
        </w:tc>
      </w:tr>
      <w:tr w:rsidR="0053251A" w:rsidRPr="00796CDC" w14:paraId="3BB786F6" w14:textId="77777777" w:rsidTr="00704478">
        <w:tc>
          <w:tcPr>
            <w:tcW w:w="3744" w:type="dxa"/>
          </w:tcPr>
          <w:p w14:paraId="1F49DB72"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National AGYW population (scaling)</w:t>
            </w:r>
          </w:p>
        </w:tc>
        <w:tc>
          <w:tcPr>
            <w:tcW w:w="2160" w:type="dxa"/>
          </w:tcPr>
          <w:p w14:paraId="6F746F31"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5,071,746</w:t>
            </w:r>
          </w:p>
        </w:tc>
        <w:tc>
          <w:tcPr>
            <w:tcW w:w="3600" w:type="dxa"/>
          </w:tcPr>
          <w:p w14:paraId="60DA8F47" w14:textId="77777777" w:rsidR="0053251A" w:rsidRPr="00796CDC" w:rsidRDefault="0053251A" w:rsidP="00704478">
            <w:pPr>
              <w:spacing w:after="0" w:line="240" w:lineRule="auto"/>
              <w:rPr>
                <w:rFonts w:ascii="Times New Roman" w:hAnsi="Times New Roman" w:cs="Times New Roman"/>
                <w:color w:val="000000" w:themeColor="text1"/>
                <w:sz w:val="24"/>
                <w:szCs w:val="24"/>
              </w:rPr>
            </w:pPr>
            <w:proofErr w:type="spellStart"/>
            <w:r w:rsidRPr="00796CDC">
              <w:rPr>
                <w:rFonts w:ascii="Times New Roman" w:hAnsi="Times New Roman" w:cs="Times New Roman"/>
                <w:color w:val="000000" w:themeColor="text1"/>
                <w:sz w:val="24"/>
                <w:szCs w:val="24"/>
              </w:rPr>
              <w:t>Thembisa</w:t>
            </w:r>
            <w:proofErr w:type="spellEnd"/>
            <w:r w:rsidRPr="00796CDC">
              <w:rPr>
                <w:rFonts w:ascii="Times New Roman" w:hAnsi="Times New Roman" w:cs="Times New Roman"/>
                <w:color w:val="000000" w:themeColor="text1"/>
                <w:sz w:val="24"/>
                <w:szCs w:val="24"/>
              </w:rPr>
              <w:t xml:space="preserve"> 2022</w:t>
            </w:r>
          </w:p>
        </w:tc>
      </w:tr>
      <w:tr w:rsidR="0053251A" w:rsidRPr="00796CDC" w14:paraId="7BE324EA" w14:textId="77777777" w:rsidTr="00704478">
        <w:tc>
          <w:tcPr>
            <w:tcW w:w="3744" w:type="dxa"/>
          </w:tcPr>
          <w:p w14:paraId="0AC161FD"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Replicates / population size</w:t>
            </w:r>
          </w:p>
        </w:tc>
        <w:tc>
          <w:tcPr>
            <w:tcW w:w="2160" w:type="dxa"/>
          </w:tcPr>
          <w:p w14:paraId="37D8D97D" w14:textId="03C4AAD6" w:rsidR="0053251A" w:rsidRPr="00796CDC" w:rsidRDefault="0053251A" w:rsidP="00704478">
            <w:pPr>
              <w:spacing w:after="0" w:line="240" w:lineRule="auto"/>
              <w:rPr>
                <w:rFonts w:ascii="Times New Roman" w:hAnsi="Times New Roman" w:cs="Times New Roman"/>
                <w:color w:val="000000" w:themeColor="text1"/>
                <w:sz w:val="24"/>
                <w:szCs w:val="24"/>
              </w:rPr>
            </w:pPr>
            <w:proofErr w:type="gramStart"/>
            <w:r>
              <w:rPr>
                <w:rFonts w:ascii="Times New Roman" w:hAnsi="Times New Roman" w:cs="Times New Roman"/>
                <w:color w:val="000000" w:themeColor="text1"/>
                <w:sz w:val="24"/>
                <w:szCs w:val="24"/>
              </w:rPr>
              <w:t>100</w:t>
            </w:r>
            <w:r w:rsidR="006E6814">
              <w:rPr>
                <w:rFonts w:ascii="Times New Roman" w:hAnsi="Times New Roman" w:cs="Times New Roman"/>
                <w:color w:val="000000" w:themeColor="text1"/>
                <w:sz w:val="24"/>
                <w:szCs w:val="24"/>
              </w:rPr>
              <w:t xml:space="preserve"> </w:t>
            </w:r>
            <w:r w:rsidRPr="00796CDC">
              <w:rPr>
                <w:rFonts w:ascii="Times New Roman" w:hAnsi="Times New Roman" w:cs="Times New Roman"/>
                <w:color w:val="000000" w:themeColor="text1"/>
                <w:sz w:val="24"/>
                <w:szCs w:val="24"/>
              </w:rPr>
              <w:t xml:space="preserve"> /</w:t>
            </w:r>
            <w:proofErr w:type="gramEnd"/>
            <w:r w:rsidRPr="00796CDC">
              <w:rPr>
                <w:rFonts w:ascii="Times New Roman" w:hAnsi="Times New Roman" w:cs="Times New Roman"/>
                <w:color w:val="000000" w:themeColor="text1"/>
                <w:sz w:val="24"/>
                <w:szCs w:val="24"/>
              </w:rPr>
              <w:t xml:space="preserve"> 20,000</w:t>
            </w:r>
          </w:p>
        </w:tc>
        <w:tc>
          <w:tcPr>
            <w:tcW w:w="3600" w:type="dxa"/>
          </w:tcPr>
          <w:p w14:paraId="151C5B31" w14:textId="77777777" w:rsidR="0053251A" w:rsidRPr="00796CDC" w:rsidRDefault="0053251A" w:rsidP="00704478">
            <w:pPr>
              <w:spacing w:after="0" w:line="240" w:lineRule="auto"/>
              <w:rPr>
                <w:rFonts w:ascii="Times New Roman" w:hAnsi="Times New Roman" w:cs="Times New Roman"/>
                <w:color w:val="000000" w:themeColor="text1"/>
                <w:sz w:val="24"/>
                <w:szCs w:val="24"/>
              </w:rPr>
            </w:pPr>
            <w:r w:rsidRPr="00796CDC">
              <w:rPr>
                <w:rFonts w:ascii="Times New Roman" w:hAnsi="Times New Roman" w:cs="Times New Roman"/>
                <w:color w:val="000000" w:themeColor="text1"/>
                <w:sz w:val="24"/>
                <w:szCs w:val="24"/>
              </w:rPr>
              <w:t>Simulation design</w:t>
            </w:r>
          </w:p>
        </w:tc>
      </w:tr>
    </w:tbl>
    <w:p w14:paraId="540C151A" w14:textId="77777777" w:rsidR="0053251A" w:rsidRPr="00796CDC" w:rsidRDefault="0053251A" w:rsidP="0053251A">
      <w:pPr>
        <w:spacing w:after="0" w:line="240" w:lineRule="auto"/>
        <w:rPr>
          <w:rFonts w:ascii="Times New Roman" w:hAnsi="Times New Roman" w:cs="Times New Roman"/>
          <w:color w:val="000000" w:themeColor="text1"/>
          <w:sz w:val="24"/>
          <w:szCs w:val="24"/>
        </w:rPr>
      </w:pPr>
    </w:p>
    <w:p w14:paraId="4E7B9C1C" w14:textId="77777777" w:rsidR="0053251A" w:rsidRDefault="0053251A" w:rsidP="00686D04">
      <w:pPr>
        <w:pStyle w:val="NormalWeb"/>
        <w:spacing w:before="0" w:beforeAutospacing="0" w:after="0" w:afterAutospacing="0"/>
        <w:jc w:val="both"/>
        <w:rPr>
          <w:rStyle w:val="Strong"/>
          <w:b w:val="0"/>
          <w:bCs w:val="0"/>
        </w:rPr>
      </w:pPr>
    </w:p>
    <w:p w14:paraId="3F9601DD" w14:textId="77777777" w:rsidR="0053251A" w:rsidRDefault="0053251A" w:rsidP="00686D04">
      <w:pPr>
        <w:pStyle w:val="NormalWeb"/>
        <w:spacing w:before="0" w:beforeAutospacing="0" w:after="0" w:afterAutospacing="0"/>
        <w:jc w:val="both"/>
        <w:rPr>
          <w:rStyle w:val="Strong"/>
          <w:b w:val="0"/>
          <w:bCs w:val="0"/>
        </w:rPr>
      </w:pPr>
    </w:p>
    <w:p w14:paraId="4E431A03" w14:textId="77777777" w:rsidR="0053251A" w:rsidRDefault="0053251A" w:rsidP="00686D04">
      <w:pPr>
        <w:pStyle w:val="NormalWeb"/>
        <w:spacing w:before="0" w:beforeAutospacing="0" w:after="0" w:afterAutospacing="0"/>
        <w:jc w:val="both"/>
        <w:rPr>
          <w:rStyle w:val="Strong"/>
          <w:b w:val="0"/>
          <w:bCs w:val="0"/>
        </w:rPr>
      </w:pPr>
    </w:p>
    <w:p w14:paraId="45538458" w14:textId="5E03AE50" w:rsidR="006E58AE" w:rsidRDefault="006E58AE" w:rsidP="00686D04">
      <w:pPr>
        <w:pStyle w:val="NormalWeb"/>
        <w:spacing w:before="0" w:beforeAutospacing="0" w:after="0" w:afterAutospacing="0"/>
        <w:jc w:val="both"/>
      </w:pPr>
      <w:r w:rsidRPr="00965A15">
        <w:rPr>
          <w:rStyle w:val="Strong"/>
          <w:b w:val="0"/>
          <w:bCs w:val="0"/>
        </w:rPr>
        <w:lastRenderedPageBreak/>
        <w:t xml:space="preserve">Table </w:t>
      </w:r>
      <w:r w:rsidR="00A75BF7">
        <w:rPr>
          <w:rStyle w:val="Strong"/>
          <w:b w:val="0"/>
          <w:bCs w:val="0"/>
        </w:rPr>
        <w:t>2</w:t>
      </w:r>
      <w:r>
        <w:rPr>
          <w:rStyle w:val="Strong"/>
          <w:b w:val="0"/>
          <w:bCs w:val="0"/>
        </w:rPr>
        <w:t>S</w:t>
      </w:r>
      <w:r w:rsidRPr="00965A15">
        <w:rPr>
          <w:rStyle w:val="Strong"/>
          <w:b w:val="0"/>
          <w:bCs w:val="0"/>
        </w:rPr>
        <w:t>. Intervention scenario grid.</w:t>
      </w:r>
      <w:r w:rsidRPr="00965A15">
        <w:t xml:space="preserve"> Rate ratios applied to HIV-testing and </w:t>
      </w:r>
      <w:proofErr w:type="spellStart"/>
      <w:r w:rsidRPr="00965A15">
        <w:t>PrEP</w:t>
      </w:r>
      <w:proofErr w:type="spellEnd"/>
      <w:r w:rsidRPr="00965A15">
        <w:t>-initiation rates among reached AGYW. Each causal-fraction scenario was crossed with three reach levels: 10%, 30%, and 50% of AGYW. A no-chatbot baseline was included as the counterfactual.</w:t>
      </w:r>
    </w:p>
    <w:tbl>
      <w:tblPr>
        <w:tblStyle w:val="TableGrid"/>
        <w:tblW w:w="9504" w:type="dxa"/>
        <w:tblInd w:w="-431" w:type="dxa"/>
        <w:tblLook w:val="04A0" w:firstRow="1" w:lastRow="0" w:firstColumn="1" w:lastColumn="0" w:noHBand="0" w:noVBand="1"/>
      </w:tblPr>
      <w:tblGrid>
        <w:gridCol w:w="2561"/>
        <w:gridCol w:w="1806"/>
        <w:gridCol w:w="1451"/>
        <w:gridCol w:w="1838"/>
        <w:gridCol w:w="1848"/>
      </w:tblGrid>
      <w:tr w:rsidR="006E58AE" w:rsidRPr="002C42D0" w14:paraId="0CE92B8A" w14:textId="77777777" w:rsidTr="00C930BE">
        <w:trPr>
          <w:trHeight w:val="20"/>
        </w:trPr>
        <w:tc>
          <w:tcPr>
            <w:tcW w:w="2561" w:type="dxa"/>
            <w:hideMark/>
          </w:tcPr>
          <w:p w14:paraId="300905E7" w14:textId="77777777" w:rsidR="006E58AE" w:rsidRPr="002C42D0" w:rsidRDefault="006E58AE" w:rsidP="00686D04">
            <w:pPr>
              <w:spacing w:after="0" w:line="240" w:lineRule="auto"/>
              <w:jc w:val="center"/>
              <w:rPr>
                <w:rFonts w:ascii="Times New Roman" w:eastAsia="Times New Roman" w:hAnsi="Times New Roman" w:cs="Times New Roman"/>
                <w:b/>
                <w:bCs/>
                <w:sz w:val="24"/>
                <w:szCs w:val="24"/>
                <w:lang w:val="en-GB" w:eastAsia="en-GB"/>
              </w:rPr>
            </w:pPr>
            <w:r w:rsidRPr="002C42D0">
              <w:rPr>
                <w:rFonts w:ascii="Times New Roman" w:eastAsia="Times New Roman" w:hAnsi="Times New Roman" w:cs="Times New Roman"/>
                <w:b/>
                <w:bCs/>
                <w:sz w:val="24"/>
                <w:szCs w:val="24"/>
                <w:lang w:val="en-GB" w:eastAsia="en-GB"/>
              </w:rPr>
              <w:t>Causal-fraction scenario</w:t>
            </w:r>
          </w:p>
        </w:tc>
        <w:tc>
          <w:tcPr>
            <w:tcW w:w="1806" w:type="dxa"/>
            <w:hideMark/>
          </w:tcPr>
          <w:p w14:paraId="653431E7" w14:textId="77777777" w:rsidR="006E58AE" w:rsidRPr="002C42D0" w:rsidRDefault="006E58AE" w:rsidP="00686D04">
            <w:pPr>
              <w:spacing w:after="0" w:line="240" w:lineRule="auto"/>
              <w:jc w:val="center"/>
              <w:rPr>
                <w:rFonts w:ascii="Times New Roman" w:eastAsia="Times New Roman" w:hAnsi="Times New Roman" w:cs="Times New Roman"/>
                <w:b/>
                <w:bCs/>
                <w:sz w:val="24"/>
                <w:szCs w:val="24"/>
                <w:lang w:val="en-GB" w:eastAsia="en-GB"/>
              </w:rPr>
            </w:pPr>
            <w:r w:rsidRPr="002C42D0">
              <w:rPr>
                <w:rFonts w:ascii="Times New Roman" w:eastAsia="Times New Roman" w:hAnsi="Times New Roman" w:cs="Times New Roman"/>
                <w:b/>
                <w:bCs/>
                <w:sz w:val="24"/>
                <w:szCs w:val="24"/>
                <w:lang w:val="en-GB" w:eastAsia="en-GB"/>
              </w:rPr>
              <w:t>Assumed causal fraction</w:t>
            </w:r>
          </w:p>
        </w:tc>
        <w:tc>
          <w:tcPr>
            <w:tcW w:w="1451" w:type="dxa"/>
            <w:hideMark/>
          </w:tcPr>
          <w:p w14:paraId="1E6B5398" w14:textId="77777777" w:rsidR="006E58AE" w:rsidRPr="002C42D0" w:rsidRDefault="006E58AE" w:rsidP="00686D04">
            <w:pPr>
              <w:spacing w:after="0" w:line="240" w:lineRule="auto"/>
              <w:jc w:val="center"/>
              <w:rPr>
                <w:rFonts w:ascii="Times New Roman" w:eastAsia="Times New Roman" w:hAnsi="Times New Roman" w:cs="Times New Roman"/>
                <w:b/>
                <w:bCs/>
                <w:sz w:val="24"/>
                <w:szCs w:val="24"/>
                <w:lang w:val="en-GB" w:eastAsia="en-GB"/>
              </w:rPr>
            </w:pPr>
            <w:r w:rsidRPr="002C42D0">
              <w:rPr>
                <w:rFonts w:ascii="Times New Roman" w:eastAsia="Times New Roman" w:hAnsi="Times New Roman" w:cs="Times New Roman"/>
                <w:b/>
                <w:bCs/>
                <w:sz w:val="24"/>
                <w:szCs w:val="24"/>
                <w:lang w:val="en-GB" w:eastAsia="en-GB"/>
              </w:rPr>
              <w:t>HIV-testing rate ratio</w:t>
            </w:r>
          </w:p>
        </w:tc>
        <w:tc>
          <w:tcPr>
            <w:tcW w:w="1838" w:type="dxa"/>
            <w:hideMark/>
          </w:tcPr>
          <w:p w14:paraId="1672BE8B" w14:textId="77777777" w:rsidR="006E58AE" w:rsidRPr="002C42D0" w:rsidRDefault="006E58AE" w:rsidP="00686D04">
            <w:pPr>
              <w:spacing w:after="0" w:line="240" w:lineRule="auto"/>
              <w:jc w:val="center"/>
              <w:rPr>
                <w:rFonts w:ascii="Times New Roman" w:eastAsia="Times New Roman" w:hAnsi="Times New Roman" w:cs="Times New Roman"/>
                <w:b/>
                <w:bCs/>
                <w:sz w:val="24"/>
                <w:szCs w:val="24"/>
                <w:lang w:val="en-GB" w:eastAsia="en-GB"/>
              </w:rPr>
            </w:pPr>
            <w:proofErr w:type="spellStart"/>
            <w:r w:rsidRPr="002C42D0">
              <w:rPr>
                <w:rFonts w:ascii="Times New Roman" w:eastAsia="Times New Roman" w:hAnsi="Times New Roman" w:cs="Times New Roman"/>
                <w:b/>
                <w:bCs/>
                <w:sz w:val="24"/>
                <w:szCs w:val="24"/>
                <w:lang w:val="en-GB" w:eastAsia="en-GB"/>
              </w:rPr>
              <w:t>PrEP</w:t>
            </w:r>
            <w:proofErr w:type="spellEnd"/>
            <w:r w:rsidRPr="002C42D0">
              <w:rPr>
                <w:rFonts w:ascii="Times New Roman" w:eastAsia="Times New Roman" w:hAnsi="Times New Roman" w:cs="Times New Roman"/>
                <w:b/>
                <w:bCs/>
                <w:sz w:val="24"/>
                <w:szCs w:val="24"/>
                <w:lang w:val="en-GB" w:eastAsia="en-GB"/>
              </w:rPr>
              <w:t>-</w:t>
            </w:r>
            <w:r w:rsidRPr="00E71DE8">
              <w:rPr>
                <w:rFonts w:ascii="Times New Roman" w:eastAsia="Times New Roman" w:hAnsi="Times New Roman" w:cs="Times New Roman"/>
                <w:b/>
                <w:bCs/>
                <w:sz w:val="24"/>
                <w:szCs w:val="24"/>
                <w:lang w:val="en-GB" w:eastAsia="en-GB"/>
              </w:rPr>
              <w:t>uptake</w:t>
            </w:r>
            <w:r w:rsidRPr="002C42D0">
              <w:rPr>
                <w:rFonts w:ascii="Times New Roman" w:eastAsia="Times New Roman" w:hAnsi="Times New Roman" w:cs="Times New Roman"/>
                <w:b/>
                <w:bCs/>
                <w:sz w:val="24"/>
                <w:szCs w:val="24"/>
                <w:lang w:val="en-GB" w:eastAsia="en-GB"/>
              </w:rPr>
              <w:t xml:space="preserve"> rate ratio</w:t>
            </w:r>
          </w:p>
        </w:tc>
        <w:tc>
          <w:tcPr>
            <w:tcW w:w="1848" w:type="dxa"/>
            <w:hideMark/>
          </w:tcPr>
          <w:p w14:paraId="4B04A98C" w14:textId="77777777" w:rsidR="006E58AE" w:rsidRPr="002C42D0" w:rsidRDefault="006E58AE" w:rsidP="00686D04">
            <w:pPr>
              <w:spacing w:after="0" w:line="240" w:lineRule="auto"/>
              <w:jc w:val="center"/>
              <w:rPr>
                <w:rFonts w:ascii="Times New Roman" w:eastAsia="Times New Roman" w:hAnsi="Times New Roman" w:cs="Times New Roman"/>
                <w:b/>
                <w:bCs/>
                <w:sz w:val="24"/>
                <w:szCs w:val="24"/>
                <w:lang w:val="en-GB" w:eastAsia="en-GB"/>
              </w:rPr>
            </w:pPr>
            <w:r w:rsidRPr="002C42D0">
              <w:rPr>
                <w:rFonts w:ascii="Times New Roman" w:eastAsia="Times New Roman" w:hAnsi="Times New Roman" w:cs="Times New Roman"/>
                <w:b/>
                <w:bCs/>
                <w:sz w:val="24"/>
                <w:szCs w:val="24"/>
                <w:lang w:val="en-GB" w:eastAsia="en-GB"/>
              </w:rPr>
              <w:t>Reach levels</w:t>
            </w:r>
          </w:p>
        </w:tc>
      </w:tr>
      <w:tr w:rsidR="006E58AE" w:rsidRPr="002C42D0" w14:paraId="2D283D9C" w14:textId="77777777" w:rsidTr="00C930BE">
        <w:trPr>
          <w:trHeight w:val="20"/>
        </w:trPr>
        <w:tc>
          <w:tcPr>
            <w:tcW w:w="2561" w:type="dxa"/>
            <w:hideMark/>
          </w:tcPr>
          <w:p w14:paraId="68381224"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Conservative</w:t>
            </w:r>
          </w:p>
        </w:tc>
        <w:tc>
          <w:tcPr>
            <w:tcW w:w="1806" w:type="dxa"/>
            <w:hideMark/>
          </w:tcPr>
          <w:p w14:paraId="4A1CD415"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25%</w:t>
            </w:r>
          </w:p>
        </w:tc>
        <w:tc>
          <w:tcPr>
            <w:tcW w:w="1451" w:type="dxa"/>
            <w:hideMark/>
          </w:tcPr>
          <w:p w14:paraId="4F00FDC6"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1.28</w:t>
            </w:r>
          </w:p>
        </w:tc>
        <w:tc>
          <w:tcPr>
            <w:tcW w:w="1838" w:type="dxa"/>
            <w:hideMark/>
          </w:tcPr>
          <w:p w14:paraId="74146E17"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1.31</w:t>
            </w:r>
          </w:p>
        </w:tc>
        <w:tc>
          <w:tcPr>
            <w:tcW w:w="1848" w:type="dxa"/>
            <w:hideMark/>
          </w:tcPr>
          <w:p w14:paraId="4ED06E67"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10%, 30%, 50%</w:t>
            </w:r>
          </w:p>
        </w:tc>
      </w:tr>
      <w:tr w:rsidR="006E58AE" w:rsidRPr="002C42D0" w14:paraId="30671ACB" w14:textId="77777777" w:rsidTr="00C930BE">
        <w:trPr>
          <w:trHeight w:val="20"/>
        </w:trPr>
        <w:tc>
          <w:tcPr>
            <w:tcW w:w="2561" w:type="dxa"/>
            <w:hideMark/>
          </w:tcPr>
          <w:p w14:paraId="7BD05B7E"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Central</w:t>
            </w:r>
          </w:p>
        </w:tc>
        <w:tc>
          <w:tcPr>
            <w:tcW w:w="1806" w:type="dxa"/>
            <w:hideMark/>
          </w:tcPr>
          <w:p w14:paraId="0352D81B"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50%</w:t>
            </w:r>
          </w:p>
        </w:tc>
        <w:tc>
          <w:tcPr>
            <w:tcW w:w="1451" w:type="dxa"/>
            <w:hideMark/>
          </w:tcPr>
          <w:p w14:paraId="1C392381"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1.55</w:t>
            </w:r>
          </w:p>
        </w:tc>
        <w:tc>
          <w:tcPr>
            <w:tcW w:w="1838" w:type="dxa"/>
            <w:hideMark/>
          </w:tcPr>
          <w:p w14:paraId="5713DF56"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1.61</w:t>
            </w:r>
          </w:p>
        </w:tc>
        <w:tc>
          <w:tcPr>
            <w:tcW w:w="1848" w:type="dxa"/>
            <w:hideMark/>
          </w:tcPr>
          <w:p w14:paraId="306BBE0F"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10%, 30%, 50%</w:t>
            </w:r>
          </w:p>
        </w:tc>
      </w:tr>
      <w:tr w:rsidR="006E58AE" w:rsidRPr="002C42D0" w14:paraId="13327D69" w14:textId="77777777" w:rsidTr="00C930BE">
        <w:trPr>
          <w:trHeight w:val="20"/>
        </w:trPr>
        <w:tc>
          <w:tcPr>
            <w:tcW w:w="2561" w:type="dxa"/>
            <w:hideMark/>
          </w:tcPr>
          <w:p w14:paraId="7E7BB350"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Optimistic</w:t>
            </w:r>
          </w:p>
        </w:tc>
        <w:tc>
          <w:tcPr>
            <w:tcW w:w="1806" w:type="dxa"/>
            <w:hideMark/>
          </w:tcPr>
          <w:p w14:paraId="6A9AEE89"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100%</w:t>
            </w:r>
          </w:p>
        </w:tc>
        <w:tc>
          <w:tcPr>
            <w:tcW w:w="1451" w:type="dxa"/>
            <w:hideMark/>
          </w:tcPr>
          <w:p w14:paraId="54BDDBF4"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2.11</w:t>
            </w:r>
          </w:p>
        </w:tc>
        <w:tc>
          <w:tcPr>
            <w:tcW w:w="1838" w:type="dxa"/>
            <w:hideMark/>
          </w:tcPr>
          <w:p w14:paraId="12AC05D9"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2.22</w:t>
            </w:r>
          </w:p>
        </w:tc>
        <w:tc>
          <w:tcPr>
            <w:tcW w:w="1848" w:type="dxa"/>
            <w:hideMark/>
          </w:tcPr>
          <w:p w14:paraId="6C690004"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10%, 30%, 50%</w:t>
            </w:r>
          </w:p>
        </w:tc>
      </w:tr>
      <w:tr w:rsidR="006E58AE" w:rsidRPr="002C42D0" w14:paraId="1B558F6D" w14:textId="77777777" w:rsidTr="00C930BE">
        <w:trPr>
          <w:trHeight w:val="20"/>
        </w:trPr>
        <w:tc>
          <w:tcPr>
            <w:tcW w:w="2561" w:type="dxa"/>
            <w:hideMark/>
          </w:tcPr>
          <w:p w14:paraId="1301E476"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No-chatbot baseline</w:t>
            </w:r>
          </w:p>
        </w:tc>
        <w:tc>
          <w:tcPr>
            <w:tcW w:w="1806" w:type="dxa"/>
            <w:hideMark/>
          </w:tcPr>
          <w:p w14:paraId="4AA64900"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0%</w:t>
            </w:r>
          </w:p>
        </w:tc>
        <w:tc>
          <w:tcPr>
            <w:tcW w:w="1451" w:type="dxa"/>
            <w:hideMark/>
          </w:tcPr>
          <w:p w14:paraId="684B5F70"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1.00</w:t>
            </w:r>
          </w:p>
        </w:tc>
        <w:tc>
          <w:tcPr>
            <w:tcW w:w="1838" w:type="dxa"/>
            <w:hideMark/>
          </w:tcPr>
          <w:p w14:paraId="2E992EBE"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1.00</w:t>
            </w:r>
          </w:p>
        </w:tc>
        <w:tc>
          <w:tcPr>
            <w:tcW w:w="1848" w:type="dxa"/>
            <w:hideMark/>
          </w:tcPr>
          <w:p w14:paraId="45A30DCF" w14:textId="77777777" w:rsidR="006E58AE" w:rsidRPr="002C42D0" w:rsidRDefault="006E58AE" w:rsidP="00686D04">
            <w:pPr>
              <w:spacing w:after="0" w:line="240" w:lineRule="auto"/>
              <w:jc w:val="center"/>
              <w:rPr>
                <w:rFonts w:ascii="Times New Roman" w:eastAsia="Times New Roman" w:hAnsi="Times New Roman" w:cs="Times New Roman"/>
                <w:sz w:val="24"/>
                <w:szCs w:val="24"/>
                <w:lang w:val="en-GB" w:eastAsia="en-GB"/>
              </w:rPr>
            </w:pPr>
            <w:r w:rsidRPr="002C42D0">
              <w:rPr>
                <w:rFonts w:ascii="Times New Roman" w:eastAsia="Times New Roman" w:hAnsi="Times New Roman" w:cs="Times New Roman"/>
                <w:sz w:val="24"/>
                <w:szCs w:val="24"/>
                <w:lang w:val="en-GB" w:eastAsia="en-GB"/>
              </w:rPr>
              <w:t>0%</w:t>
            </w:r>
          </w:p>
        </w:tc>
      </w:tr>
    </w:tbl>
    <w:p w14:paraId="41B94A73" w14:textId="77777777" w:rsidR="009D2DD3" w:rsidRDefault="009D2DD3" w:rsidP="00686D04">
      <w:pPr>
        <w:spacing w:after="0" w:line="240" w:lineRule="auto"/>
      </w:pPr>
    </w:p>
    <w:p w14:paraId="3F4F6835" w14:textId="1198F426" w:rsidR="006E58AE" w:rsidRPr="00965A15" w:rsidRDefault="006E58AE" w:rsidP="00686D04">
      <w:pPr>
        <w:pStyle w:val="NormalWeb"/>
        <w:spacing w:before="0" w:beforeAutospacing="0" w:after="0" w:afterAutospacing="0"/>
      </w:pPr>
      <w:r w:rsidRPr="00965A15">
        <w:rPr>
          <w:rStyle w:val="Strong"/>
          <w:b w:val="0"/>
          <w:bCs w:val="0"/>
        </w:rPr>
        <w:t xml:space="preserve">Table </w:t>
      </w:r>
      <w:r w:rsidR="00A75BF7">
        <w:rPr>
          <w:rStyle w:val="Strong"/>
          <w:b w:val="0"/>
          <w:bCs w:val="0"/>
        </w:rPr>
        <w:t>3</w:t>
      </w:r>
      <w:r>
        <w:rPr>
          <w:rStyle w:val="Strong"/>
          <w:b w:val="0"/>
          <w:bCs w:val="0"/>
        </w:rPr>
        <w:t>S</w:t>
      </w:r>
      <w:r w:rsidRPr="00965A15">
        <w:rPr>
          <w:rStyle w:val="Strong"/>
          <w:b w:val="0"/>
          <w:bCs w:val="0"/>
        </w:rPr>
        <w:t>. Secondary implementation-strategy scenarios.</w:t>
      </w:r>
      <w:r w:rsidRPr="00965A15">
        <w:t xml:space="preserve"> All scenarios were evaluated at 50% AGYW reach under the central </w:t>
      </w:r>
      <w:proofErr w:type="spellStart"/>
      <w:r w:rsidRPr="00965A15">
        <w:t>PrEP</w:t>
      </w:r>
      <w:proofErr w:type="spellEnd"/>
      <w:r w:rsidRPr="00965A15">
        <w:t>-</w:t>
      </w:r>
      <w:r>
        <w:t>uptake</w:t>
      </w:r>
      <w:r w:rsidRPr="00965A15">
        <w:t xml:space="preserve"> effect. HIV-testing rates were held at baseline to isolate the </w:t>
      </w:r>
      <w:proofErr w:type="spellStart"/>
      <w:r w:rsidRPr="00965A15">
        <w:t>PrEP</w:t>
      </w:r>
      <w:proofErr w:type="spellEnd"/>
      <w:r w:rsidRPr="00965A15">
        <w:t xml:space="preserve"> pathway</w:t>
      </w:r>
    </w:p>
    <w:tbl>
      <w:tblPr>
        <w:tblStyle w:val="TableGrid"/>
        <w:tblW w:w="9498" w:type="dxa"/>
        <w:tblInd w:w="-431" w:type="dxa"/>
        <w:tblLook w:val="04A0" w:firstRow="1" w:lastRow="0" w:firstColumn="1" w:lastColumn="0" w:noHBand="0" w:noVBand="1"/>
      </w:tblPr>
      <w:tblGrid>
        <w:gridCol w:w="2500"/>
        <w:gridCol w:w="1895"/>
        <w:gridCol w:w="1335"/>
        <w:gridCol w:w="1924"/>
        <w:gridCol w:w="1844"/>
      </w:tblGrid>
      <w:tr w:rsidR="00C930BE" w:rsidRPr="00965A15" w14:paraId="0EB51F4B" w14:textId="77777777" w:rsidTr="00C930BE">
        <w:tc>
          <w:tcPr>
            <w:tcW w:w="2500" w:type="dxa"/>
            <w:hideMark/>
          </w:tcPr>
          <w:p w14:paraId="645DA0E1" w14:textId="77777777" w:rsidR="006E58AE" w:rsidRPr="00965A15" w:rsidRDefault="006E58AE" w:rsidP="00686D04">
            <w:pPr>
              <w:spacing w:after="0" w:line="240" w:lineRule="auto"/>
              <w:jc w:val="center"/>
              <w:rPr>
                <w:rFonts w:ascii="Times New Roman" w:eastAsia="Times New Roman" w:hAnsi="Times New Roman" w:cs="Times New Roman"/>
                <w:b/>
                <w:bCs/>
                <w:sz w:val="24"/>
                <w:szCs w:val="24"/>
                <w:lang w:val="en-GB" w:eastAsia="en-GB"/>
              </w:rPr>
            </w:pPr>
            <w:r w:rsidRPr="00965A15">
              <w:rPr>
                <w:rFonts w:ascii="Times New Roman" w:eastAsia="Times New Roman" w:hAnsi="Times New Roman" w:cs="Times New Roman"/>
                <w:b/>
                <w:bCs/>
                <w:sz w:val="24"/>
                <w:szCs w:val="24"/>
                <w:lang w:val="en-GB" w:eastAsia="en-GB"/>
              </w:rPr>
              <w:t>Strategy</w:t>
            </w:r>
          </w:p>
        </w:tc>
        <w:tc>
          <w:tcPr>
            <w:tcW w:w="1895" w:type="dxa"/>
            <w:hideMark/>
          </w:tcPr>
          <w:p w14:paraId="76F1D098" w14:textId="77777777" w:rsidR="006E58AE" w:rsidRPr="00965A15" w:rsidRDefault="006E58AE" w:rsidP="00686D04">
            <w:pPr>
              <w:spacing w:after="0" w:line="240" w:lineRule="auto"/>
              <w:jc w:val="center"/>
              <w:rPr>
                <w:rFonts w:ascii="Times New Roman" w:eastAsia="Times New Roman" w:hAnsi="Times New Roman" w:cs="Times New Roman"/>
                <w:b/>
                <w:bCs/>
                <w:sz w:val="24"/>
                <w:szCs w:val="24"/>
                <w:lang w:val="en-GB" w:eastAsia="en-GB"/>
              </w:rPr>
            </w:pPr>
            <w:r w:rsidRPr="00965A15">
              <w:rPr>
                <w:rFonts w:ascii="Times New Roman" w:eastAsia="Times New Roman" w:hAnsi="Times New Roman" w:cs="Times New Roman"/>
                <w:b/>
                <w:bCs/>
                <w:sz w:val="24"/>
                <w:szCs w:val="24"/>
                <w:lang w:val="en-GB" w:eastAsia="en-GB"/>
              </w:rPr>
              <w:t xml:space="preserve">Expands </w:t>
            </w:r>
            <w:proofErr w:type="spellStart"/>
            <w:r w:rsidRPr="00965A15">
              <w:rPr>
                <w:rFonts w:ascii="Times New Roman" w:eastAsia="Times New Roman" w:hAnsi="Times New Roman" w:cs="Times New Roman"/>
                <w:b/>
                <w:bCs/>
                <w:sz w:val="24"/>
                <w:szCs w:val="24"/>
                <w:lang w:val="en-GB" w:eastAsia="en-GB"/>
              </w:rPr>
              <w:t>PrEP</w:t>
            </w:r>
            <w:proofErr w:type="spellEnd"/>
            <w:r w:rsidRPr="00965A15">
              <w:rPr>
                <w:rFonts w:ascii="Times New Roman" w:eastAsia="Times New Roman" w:hAnsi="Times New Roman" w:cs="Times New Roman"/>
                <w:b/>
                <w:bCs/>
                <w:sz w:val="24"/>
                <w:szCs w:val="24"/>
                <w:lang w:val="en-GB" w:eastAsia="en-GB"/>
              </w:rPr>
              <w:t xml:space="preserve"> eligibility?</w:t>
            </w:r>
          </w:p>
        </w:tc>
        <w:tc>
          <w:tcPr>
            <w:tcW w:w="1335" w:type="dxa"/>
            <w:hideMark/>
          </w:tcPr>
          <w:p w14:paraId="35DC56E6" w14:textId="77777777" w:rsidR="006E58AE" w:rsidRPr="00965A15" w:rsidRDefault="006E58AE" w:rsidP="00686D04">
            <w:pPr>
              <w:spacing w:after="0" w:line="240" w:lineRule="auto"/>
              <w:jc w:val="center"/>
              <w:rPr>
                <w:rFonts w:ascii="Times New Roman" w:eastAsia="Times New Roman" w:hAnsi="Times New Roman" w:cs="Times New Roman"/>
                <w:b/>
                <w:bCs/>
                <w:sz w:val="24"/>
                <w:szCs w:val="24"/>
                <w:lang w:val="en-GB" w:eastAsia="en-GB"/>
              </w:rPr>
            </w:pPr>
            <w:r w:rsidRPr="00965A15">
              <w:rPr>
                <w:rFonts w:ascii="Times New Roman" w:eastAsia="Times New Roman" w:hAnsi="Times New Roman" w:cs="Times New Roman"/>
                <w:b/>
                <w:bCs/>
                <w:sz w:val="24"/>
                <w:szCs w:val="24"/>
                <w:lang w:val="en-GB" w:eastAsia="en-GB"/>
              </w:rPr>
              <w:t xml:space="preserve">Increases </w:t>
            </w:r>
            <w:proofErr w:type="spellStart"/>
            <w:r w:rsidRPr="00965A15">
              <w:rPr>
                <w:rFonts w:ascii="Times New Roman" w:eastAsia="Times New Roman" w:hAnsi="Times New Roman" w:cs="Times New Roman"/>
                <w:b/>
                <w:bCs/>
                <w:sz w:val="24"/>
                <w:szCs w:val="24"/>
                <w:lang w:val="en-GB" w:eastAsia="en-GB"/>
              </w:rPr>
              <w:t>PrEP</w:t>
            </w:r>
            <w:proofErr w:type="spellEnd"/>
            <w:r w:rsidRPr="00965A15">
              <w:rPr>
                <w:rFonts w:ascii="Times New Roman" w:eastAsia="Times New Roman" w:hAnsi="Times New Roman" w:cs="Times New Roman"/>
                <w:b/>
                <w:bCs/>
                <w:sz w:val="24"/>
                <w:szCs w:val="24"/>
                <w:lang w:val="en-GB" w:eastAsia="en-GB"/>
              </w:rPr>
              <w:t xml:space="preserve"> initiation?</w:t>
            </w:r>
          </w:p>
        </w:tc>
        <w:tc>
          <w:tcPr>
            <w:tcW w:w="1924" w:type="dxa"/>
            <w:hideMark/>
          </w:tcPr>
          <w:p w14:paraId="60FE7CCF" w14:textId="77777777" w:rsidR="006E58AE" w:rsidRPr="00965A15" w:rsidRDefault="006E58AE" w:rsidP="00686D04">
            <w:pPr>
              <w:spacing w:after="0" w:line="240" w:lineRule="auto"/>
              <w:jc w:val="center"/>
              <w:rPr>
                <w:rFonts w:ascii="Times New Roman" w:eastAsia="Times New Roman" w:hAnsi="Times New Roman" w:cs="Times New Roman"/>
                <w:b/>
                <w:bCs/>
                <w:sz w:val="24"/>
                <w:szCs w:val="24"/>
                <w:lang w:val="en-GB" w:eastAsia="en-GB"/>
              </w:rPr>
            </w:pPr>
            <w:r w:rsidRPr="00965A15">
              <w:rPr>
                <w:rFonts w:ascii="Times New Roman" w:eastAsia="Times New Roman" w:hAnsi="Times New Roman" w:cs="Times New Roman"/>
                <w:b/>
                <w:bCs/>
                <w:sz w:val="24"/>
                <w:szCs w:val="24"/>
                <w:lang w:val="en-GB" w:eastAsia="en-GB"/>
              </w:rPr>
              <w:t xml:space="preserve">Reduces </w:t>
            </w:r>
            <w:proofErr w:type="spellStart"/>
            <w:r w:rsidRPr="00965A15">
              <w:rPr>
                <w:rFonts w:ascii="Times New Roman" w:eastAsia="Times New Roman" w:hAnsi="Times New Roman" w:cs="Times New Roman"/>
                <w:b/>
                <w:bCs/>
                <w:sz w:val="24"/>
                <w:szCs w:val="24"/>
                <w:lang w:val="en-GB" w:eastAsia="en-GB"/>
              </w:rPr>
              <w:t>PrEP</w:t>
            </w:r>
            <w:proofErr w:type="spellEnd"/>
            <w:r w:rsidRPr="00965A15">
              <w:rPr>
                <w:rFonts w:ascii="Times New Roman" w:eastAsia="Times New Roman" w:hAnsi="Times New Roman" w:cs="Times New Roman"/>
                <w:b/>
                <w:bCs/>
                <w:sz w:val="24"/>
                <w:szCs w:val="24"/>
                <w:lang w:val="en-GB" w:eastAsia="en-GB"/>
              </w:rPr>
              <w:t xml:space="preserve"> discontinuation?</w:t>
            </w:r>
          </w:p>
        </w:tc>
        <w:tc>
          <w:tcPr>
            <w:tcW w:w="1844" w:type="dxa"/>
            <w:hideMark/>
          </w:tcPr>
          <w:p w14:paraId="1E070770" w14:textId="77777777" w:rsidR="006E58AE" w:rsidRPr="00965A15" w:rsidRDefault="006E58AE" w:rsidP="00686D04">
            <w:pPr>
              <w:spacing w:after="0" w:line="240" w:lineRule="auto"/>
              <w:jc w:val="center"/>
              <w:rPr>
                <w:rFonts w:ascii="Times New Roman" w:eastAsia="Times New Roman" w:hAnsi="Times New Roman" w:cs="Times New Roman"/>
                <w:b/>
                <w:bCs/>
                <w:sz w:val="24"/>
                <w:szCs w:val="24"/>
                <w:lang w:val="en-GB" w:eastAsia="en-GB"/>
              </w:rPr>
            </w:pPr>
            <w:r w:rsidRPr="00965A15">
              <w:rPr>
                <w:rFonts w:ascii="Times New Roman" w:eastAsia="Times New Roman" w:hAnsi="Times New Roman" w:cs="Times New Roman"/>
                <w:b/>
                <w:bCs/>
                <w:sz w:val="24"/>
                <w:szCs w:val="24"/>
                <w:lang w:val="en-GB" w:eastAsia="en-GB"/>
              </w:rPr>
              <w:t>Discontinuation reduction</w:t>
            </w:r>
          </w:p>
        </w:tc>
      </w:tr>
      <w:tr w:rsidR="00C930BE" w:rsidRPr="00965A15" w14:paraId="323E8D15" w14:textId="77777777" w:rsidTr="00C930BE">
        <w:tc>
          <w:tcPr>
            <w:tcW w:w="2500" w:type="dxa"/>
            <w:hideMark/>
          </w:tcPr>
          <w:p w14:paraId="557E3E49" w14:textId="77777777" w:rsidR="006E58AE" w:rsidRPr="00965A15" w:rsidRDefault="006E58AE" w:rsidP="00686D04">
            <w:pPr>
              <w:spacing w:after="0" w:line="240" w:lineRule="auto"/>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Demand generation</w:t>
            </w:r>
          </w:p>
        </w:tc>
        <w:tc>
          <w:tcPr>
            <w:tcW w:w="1895" w:type="dxa"/>
            <w:hideMark/>
          </w:tcPr>
          <w:p w14:paraId="67285FA4"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Yes</w:t>
            </w:r>
          </w:p>
        </w:tc>
        <w:tc>
          <w:tcPr>
            <w:tcW w:w="1335" w:type="dxa"/>
            <w:hideMark/>
          </w:tcPr>
          <w:p w14:paraId="12EA10B7"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Yes</w:t>
            </w:r>
          </w:p>
        </w:tc>
        <w:tc>
          <w:tcPr>
            <w:tcW w:w="1924" w:type="dxa"/>
            <w:hideMark/>
          </w:tcPr>
          <w:p w14:paraId="388FF2CE"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No</w:t>
            </w:r>
          </w:p>
        </w:tc>
        <w:tc>
          <w:tcPr>
            <w:tcW w:w="1844" w:type="dxa"/>
            <w:hideMark/>
          </w:tcPr>
          <w:p w14:paraId="056296C4"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0%</w:t>
            </w:r>
          </w:p>
        </w:tc>
      </w:tr>
      <w:tr w:rsidR="00C930BE" w:rsidRPr="00965A15" w14:paraId="280161B2" w14:textId="77777777" w:rsidTr="00C930BE">
        <w:tc>
          <w:tcPr>
            <w:tcW w:w="2500" w:type="dxa"/>
            <w:hideMark/>
          </w:tcPr>
          <w:p w14:paraId="24B73B18" w14:textId="77777777" w:rsidR="006E58AE" w:rsidRPr="00965A15" w:rsidRDefault="006E58AE" w:rsidP="00686D04">
            <w:pPr>
              <w:spacing w:after="0" w:line="240" w:lineRule="auto"/>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Persistence support</w:t>
            </w:r>
          </w:p>
        </w:tc>
        <w:tc>
          <w:tcPr>
            <w:tcW w:w="1895" w:type="dxa"/>
            <w:hideMark/>
          </w:tcPr>
          <w:p w14:paraId="2462C0BE"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No</w:t>
            </w:r>
          </w:p>
        </w:tc>
        <w:tc>
          <w:tcPr>
            <w:tcW w:w="1335" w:type="dxa"/>
            <w:hideMark/>
          </w:tcPr>
          <w:p w14:paraId="7B88F543"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No</w:t>
            </w:r>
          </w:p>
        </w:tc>
        <w:tc>
          <w:tcPr>
            <w:tcW w:w="1924" w:type="dxa"/>
            <w:hideMark/>
          </w:tcPr>
          <w:p w14:paraId="50360D0A"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Yes</w:t>
            </w:r>
          </w:p>
        </w:tc>
        <w:tc>
          <w:tcPr>
            <w:tcW w:w="1844" w:type="dxa"/>
            <w:hideMark/>
          </w:tcPr>
          <w:p w14:paraId="449F22A8"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20%, 40%, 60%</w:t>
            </w:r>
          </w:p>
        </w:tc>
      </w:tr>
      <w:tr w:rsidR="00C930BE" w:rsidRPr="00965A15" w14:paraId="0469EFBA" w14:textId="77777777" w:rsidTr="00C930BE">
        <w:tc>
          <w:tcPr>
            <w:tcW w:w="2500" w:type="dxa"/>
            <w:hideMark/>
          </w:tcPr>
          <w:p w14:paraId="580DBB43" w14:textId="77777777" w:rsidR="006E58AE" w:rsidRPr="00965A15" w:rsidRDefault="006E58AE" w:rsidP="00686D04">
            <w:pPr>
              <w:spacing w:after="0" w:line="240" w:lineRule="auto"/>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Combined strategy</w:t>
            </w:r>
          </w:p>
        </w:tc>
        <w:tc>
          <w:tcPr>
            <w:tcW w:w="1895" w:type="dxa"/>
            <w:hideMark/>
          </w:tcPr>
          <w:p w14:paraId="21D5CBC3"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Yes</w:t>
            </w:r>
          </w:p>
        </w:tc>
        <w:tc>
          <w:tcPr>
            <w:tcW w:w="1335" w:type="dxa"/>
            <w:hideMark/>
          </w:tcPr>
          <w:p w14:paraId="21F6CA30"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Yes</w:t>
            </w:r>
          </w:p>
        </w:tc>
        <w:tc>
          <w:tcPr>
            <w:tcW w:w="1924" w:type="dxa"/>
            <w:hideMark/>
          </w:tcPr>
          <w:p w14:paraId="13B75ED2"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Yes</w:t>
            </w:r>
          </w:p>
        </w:tc>
        <w:tc>
          <w:tcPr>
            <w:tcW w:w="1844" w:type="dxa"/>
            <w:hideMark/>
          </w:tcPr>
          <w:p w14:paraId="7CBD476C" w14:textId="77777777" w:rsidR="006E58AE" w:rsidRPr="00965A15" w:rsidRDefault="006E58AE" w:rsidP="00686D04">
            <w:pPr>
              <w:spacing w:after="0" w:line="240" w:lineRule="auto"/>
              <w:jc w:val="center"/>
              <w:rPr>
                <w:rFonts w:ascii="Times New Roman" w:eastAsia="Times New Roman" w:hAnsi="Times New Roman" w:cs="Times New Roman"/>
                <w:sz w:val="24"/>
                <w:szCs w:val="24"/>
                <w:lang w:val="en-GB" w:eastAsia="en-GB"/>
              </w:rPr>
            </w:pPr>
            <w:r w:rsidRPr="00965A15">
              <w:rPr>
                <w:rFonts w:ascii="Times New Roman" w:eastAsia="Times New Roman" w:hAnsi="Times New Roman" w:cs="Times New Roman"/>
                <w:sz w:val="24"/>
                <w:szCs w:val="24"/>
                <w:lang w:val="en-GB" w:eastAsia="en-GB"/>
              </w:rPr>
              <w:t>20%, 40%, 60%</w:t>
            </w:r>
          </w:p>
        </w:tc>
      </w:tr>
    </w:tbl>
    <w:p w14:paraId="6F1E5EDA" w14:textId="77777777" w:rsidR="006E58AE" w:rsidRPr="00D07D65" w:rsidRDefault="006E58AE" w:rsidP="00686D04">
      <w:pPr>
        <w:spacing w:after="0" w:line="240" w:lineRule="auto"/>
      </w:pPr>
    </w:p>
    <w:p w14:paraId="0449ECBB" w14:textId="739B69C0" w:rsidR="006E58AE" w:rsidRPr="006F3883" w:rsidRDefault="006E58AE" w:rsidP="00686D04">
      <w:pPr>
        <w:pStyle w:val="NormalWeb"/>
        <w:spacing w:after="0" w:afterAutospacing="0"/>
        <w:rPr>
          <w:b/>
          <w:bCs/>
        </w:rPr>
      </w:pPr>
      <w:r w:rsidRPr="006F3883">
        <w:rPr>
          <w:rStyle w:val="Strong"/>
          <w:b w:val="0"/>
          <w:bCs w:val="0"/>
        </w:rPr>
        <w:t xml:space="preserve">Table </w:t>
      </w:r>
      <w:r w:rsidR="0053251A">
        <w:rPr>
          <w:rStyle w:val="Strong"/>
          <w:b w:val="0"/>
          <w:bCs w:val="0"/>
        </w:rPr>
        <w:t>4</w:t>
      </w:r>
      <w:r>
        <w:rPr>
          <w:rStyle w:val="Strong"/>
          <w:b w:val="0"/>
          <w:bCs w:val="0"/>
        </w:rPr>
        <w:t>S</w:t>
      </w:r>
      <w:r w:rsidRPr="006F3883">
        <w:rPr>
          <w:rStyle w:val="Strong"/>
          <w:b w:val="0"/>
          <w:bCs w:val="0"/>
        </w:rPr>
        <w:t>. Projected AGYW HIV infections averted by the Aimee chatbot, South Africa, 2025–2035.</w:t>
      </w:r>
      <w:r w:rsidRPr="006F3883">
        <w:t>Values are nationally scaled paired differences between the no-chatbot counterfactual and intervention scenarios.</w:t>
      </w:r>
    </w:p>
    <w:tbl>
      <w:tblPr>
        <w:tblStyle w:val="TableGrid"/>
        <w:tblW w:w="9067" w:type="dxa"/>
        <w:tblLook w:val="04A0" w:firstRow="1" w:lastRow="0" w:firstColumn="1" w:lastColumn="0" w:noHBand="0" w:noVBand="1"/>
      </w:tblPr>
      <w:tblGrid>
        <w:gridCol w:w="856"/>
        <w:gridCol w:w="2116"/>
        <w:gridCol w:w="1701"/>
        <w:gridCol w:w="2126"/>
        <w:gridCol w:w="2268"/>
      </w:tblGrid>
      <w:tr w:rsidR="00421BF8" w:rsidRPr="006F3883" w14:paraId="276CEF03" w14:textId="77777777" w:rsidTr="00C930BE">
        <w:tc>
          <w:tcPr>
            <w:tcW w:w="0" w:type="auto"/>
            <w:hideMark/>
          </w:tcPr>
          <w:p w14:paraId="230B84B2" w14:textId="77777777" w:rsidR="00421BF8" w:rsidRPr="006F3883" w:rsidRDefault="00421BF8" w:rsidP="00686D04">
            <w:pPr>
              <w:spacing w:after="0" w:line="240" w:lineRule="auto"/>
              <w:jc w:val="right"/>
              <w:rPr>
                <w:rFonts w:ascii="Times New Roman" w:eastAsia="Times New Roman" w:hAnsi="Times New Roman" w:cs="Times New Roman"/>
                <w:b/>
                <w:bCs/>
                <w:sz w:val="24"/>
                <w:szCs w:val="24"/>
                <w:lang w:val="en-GB" w:eastAsia="en-GB"/>
              </w:rPr>
            </w:pPr>
            <w:r w:rsidRPr="006F3883">
              <w:rPr>
                <w:rFonts w:ascii="Times New Roman" w:eastAsia="Times New Roman" w:hAnsi="Times New Roman" w:cs="Times New Roman"/>
                <w:b/>
                <w:bCs/>
                <w:sz w:val="24"/>
                <w:szCs w:val="24"/>
                <w:lang w:val="en-GB" w:eastAsia="en-GB"/>
              </w:rPr>
              <w:t>Reach</w:t>
            </w:r>
          </w:p>
        </w:tc>
        <w:tc>
          <w:tcPr>
            <w:tcW w:w="2116" w:type="dxa"/>
            <w:hideMark/>
          </w:tcPr>
          <w:p w14:paraId="0BEE7470" w14:textId="77777777" w:rsidR="00421BF8" w:rsidRPr="006F3883" w:rsidRDefault="00421BF8" w:rsidP="00686D04">
            <w:pPr>
              <w:spacing w:after="0" w:line="240" w:lineRule="auto"/>
              <w:jc w:val="center"/>
              <w:rPr>
                <w:rFonts w:ascii="Times New Roman" w:eastAsia="Times New Roman" w:hAnsi="Times New Roman" w:cs="Times New Roman"/>
                <w:b/>
                <w:bCs/>
                <w:sz w:val="24"/>
                <w:szCs w:val="24"/>
                <w:lang w:val="en-GB" w:eastAsia="en-GB"/>
              </w:rPr>
            </w:pPr>
            <w:r w:rsidRPr="006F3883">
              <w:rPr>
                <w:rFonts w:ascii="Times New Roman" w:eastAsia="Times New Roman" w:hAnsi="Times New Roman" w:cs="Times New Roman"/>
                <w:b/>
                <w:bCs/>
                <w:sz w:val="24"/>
                <w:szCs w:val="24"/>
                <w:lang w:val="en-GB" w:eastAsia="en-GB"/>
              </w:rPr>
              <w:t>Causal-fraction assumption</w:t>
            </w:r>
          </w:p>
        </w:tc>
        <w:tc>
          <w:tcPr>
            <w:tcW w:w="1701" w:type="dxa"/>
            <w:hideMark/>
          </w:tcPr>
          <w:p w14:paraId="55F5A302" w14:textId="77777777" w:rsidR="00421BF8" w:rsidRPr="006F3883" w:rsidRDefault="00421BF8" w:rsidP="00686D04">
            <w:pPr>
              <w:spacing w:after="0" w:line="240" w:lineRule="auto"/>
              <w:jc w:val="right"/>
              <w:rPr>
                <w:rFonts w:ascii="Times New Roman" w:eastAsia="Times New Roman" w:hAnsi="Times New Roman" w:cs="Times New Roman"/>
                <w:b/>
                <w:bCs/>
                <w:sz w:val="24"/>
                <w:szCs w:val="24"/>
                <w:lang w:val="en-GB" w:eastAsia="en-GB"/>
              </w:rPr>
            </w:pPr>
            <w:r w:rsidRPr="006F3883">
              <w:rPr>
                <w:rFonts w:ascii="Times New Roman" w:eastAsia="Times New Roman" w:hAnsi="Times New Roman" w:cs="Times New Roman"/>
                <w:b/>
                <w:bCs/>
                <w:sz w:val="24"/>
                <w:szCs w:val="24"/>
                <w:lang w:val="en-GB" w:eastAsia="en-GB"/>
              </w:rPr>
              <w:t>Infections averted, mean</w:t>
            </w:r>
          </w:p>
        </w:tc>
        <w:tc>
          <w:tcPr>
            <w:tcW w:w="2126" w:type="dxa"/>
            <w:hideMark/>
          </w:tcPr>
          <w:p w14:paraId="4B7B7804" w14:textId="77777777" w:rsidR="00421BF8" w:rsidRPr="006F3883" w:rsidRDefault="00421BF8" w:rsidP="00686D04">
            <w:pPr>
              <w:spacing w:after="0" w:line="240" w:lineRule="auto"/>
              <w:jc w:val="right"/>
              <w:rPr>
                <w:rFonts w:ascii="Times New Roman" w:eastAsia="Times New Roman" w:hAnsi="Times New Roman" w:cs="Times New Roman"/>
                <w:b/>
                <w:bCs/>
                <w:sz w:val="24"/>
                <w:szCs w:val="24"/>
                <w:lang w:val="en-GB" w:eastAsia="en-GB"/>
              </w:rPr>
            </w:pPr>
            <w:r w:rsidRPr="006F3883">
              <w:rPr>
                <w:rFonts w:ascii="Times New Roman" w:eastAsia="Times New Roman" w:hAnsi="Times New Roman" w:cs="Times New Roman"/>
                <w:b/>
                <w:bCs/>
                <w:sz w:val="24"/>
                <w:szCs w:val="24"/>
                <w:lang w:val="en-GB" w:eastAsia="en-GB"/>
              </w:rPr>
              <w:t>95% CI</w:t>
            </w:r>
          </w:p>
        </w:tc>
        <w:tc>
          <w:tcPr>
            <w:tcW w:w="2268" w:type="dxa"/>
            <w:hideMark/>
          </w:tcPr>
          <w:p w14:paraId="610C1420" w14:textId="77777777" w:rsidR="00421BF8" w:rsidRPr="006F3883" w:rsidRDefault="00421BF8" w:rsidP="00686D04">
            <w:pPr>
              <w:spacing w:after="0" w:line="240" w:lineRule="auto"/>
              <w:jc w:val="right"/>
              <w:rPr>
                <w:rFonts w:ascii="Times New Roman" w:eastAsia="Times New Roman" w:hAnsi="Times New Roman" w:cs="Times New Roman"/>
                <w:b/>
                <w:bCs/>
                <w:sz w:val="24"/>
                <w:szCs w:val="24"/>
                <w:lang w:val="en-GB" w:eastAsia="en-GB"/>
              </w:rPr>
            </w:pPr>
            <w:r w:rsidRPr="006F3883">
              <w:rPr>
                <w:rFonts w:ascii="Times New Roman" w:eastAsia="Times New Roman" w:hAnsi="Times New Roman" w:cs="Times New Roman"/>
                <w:b/>
                <w:bCs/>
                <w:sz w:val="24"/>
                <w:szCs w:val="24"/>
                <w:lang w:val="en-GB" w:eastAsia="en-GB"/>
              </w:rPr>
              <w:t>Infections averted (%)</w:t>
            </w:r>
          </w:p>
        </w:tc>
      </w:tr>
      <w:tr w:rsidR="00421BF8" w:rsidRPr="006F3883" w14:paraId="2EF3097B" w14:textId="77777777" w:rsidTr="00C930BE">
        <w:tc>
          <w:tcPr>
            <w:tcW w:w="0" w:type="auto"/>
            <w:hideMark/>
          </w:tcPr>
          <w:p w14:paraId="191A0256"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10%</w:t>
            </w:r>
          </w:p>
        </w:tc>
        <w:tc>
          <w:tcPr>
            <w:tcW w:w="2116" w:type="dxa"/>
            <w:hideMark/>
          </w:tcPr>
          <w:p w14:paraId="15D85238" w14:textId="77777777" w:rsidR="00421BF8" w:rsidRPr="006F3883" w:rsidRDefault="00421BF8" w:rsidP="00686D04">
            <w:pPr>
              <w:spacing w:after="0" w:line="240" w:lineRule="auto"/>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Conservative</w:t>
            </w:r>
          </w:p>
        </w:tc>
        <w:tc>
          <w:tcPr>
            <w:tcW w:w="1701" w:type="dxa"/>
            <w:hideMark/>
          </w:tcPr>
          <w:p w14:paraId="26D6F1EE"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8,945</w:t>
            </w:r>
          </w:p>
        </w:tc>
        <w:tc>
          <w:tcPr>
            <w:tcW w:w="2126" w:type="dxa"/>
            <w:hideMark/>
          </w:tcPr>
          <w:p w14:paraId="1F0C0B28"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602–17,287</w:t>
            </w:r>
          </w:p>
        </w:tc>
        <w:tc>
          <w:tcPr>
            <w:tcW w:w="2268" w:type="dxa"/>
            <w:hideMark/>
          </w:tcPr>
          <w:p w14:paraId="35F9104C"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1.2%</w:t>
            </w:r>
          </w:p>
        </w:tc>
      </w:tr>
      <w:tr w:rsidR="00421BF8" w:rsidRPr="006F3883" w14:paraId="4F47F7EA" w14:textId="77777777" w:rsidTr="00C930BE">
        <w:tc>
          <w:tcPr>
            <w:tcW w:w="0" w:type="auto"/>
            <w:hideMark/>
          </w:tcPr>
          <w:p w14:paraId="3CBF6D4E"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10%</w:t>
            </w:r>
          </w:p>
        </w:tc>
        <w:tc>
          <w:tcPr>
            <w:tcW w:w="2116" w:type="dxa"/>
            <w:hideMark/>
          </w:tcPr>
          <w:p w14:paraId="16D116F7" w14:textId="77777777" w:rsidR="00421BF8" w:rsidRPr="006F3883" w:rsidRDefault="00421BF8" w:rsidP="00686D04">
            <w:pPr>
              <w:spacing w:after="0" w:line="240" w:lineRule="auto"/>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Central</w:t>
            </w:r>
          </w:p>
        </w:tc>
        <w:tc>
          <w:tcPr>
            <w:tcW w:w="1701" w:type="dxa"/>
            <w:hideMark/>
          </w:tcPr>
          <w:p w14:paraId="6E6ABC19"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6,641</w:t>
            </w:r>
          </w:p>
        </w:tc>
        <w:tc>
          <w:tcPr>
            <w:tcW w:w="2126" w:type="dxa"/>
            <w:hideMark/>
          </w:tcPr>
          <w:p w14:paraId="0FBEF808"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−1,559–14,840</w:t>
            </w:r>
          </w:p>
        </w:tc>
        <w:tc>
          <w:tcPr>
            <w:tcW w:w="2268" w:type="dxa"/>
            <w:hideMark/>
          </w:tcPr>
          <w:p w14:paraId="61F0004A"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0.9%</w:t>
            </w:r>
          </w:p>
        </w:tc>
      </w:tr>
      <w:tr w:rsidR="00421BF8" w:rsidRPr="006F3883" w14:paraId="3180DC33" w14:textId="77777777" w:rsidTr="00C930BE">
        <w:tc>
          <w:tcPr>
            <w:tcW w:w="0" w:type="auto"/>
            <w:hideMark/>
          </w:tcPr>
          <w:p w14:paraId="16FEAE77"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10%</w:t>
            </w:r>
          </w:p>
        </w:tc>
        <w:tc>
          <w:tcPr>
            <w:tcW w:w="2116" w:type="dxa"/>
            <w:hideMark/>
          </w:tcPr>
          <w:p w14:paraId="4377D8A2" w14:textId="77777777" w:rsidR="00421BF8" w:rsidRPr="006F3883" w:rsidRDefault="00421BF8" w:rsidP="00686D04">
            <w:pPr>
              <w:spacing w:after="0" w:line="240" w:lineRule="auto"/>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Optimistic</w:t>
            </w:r>
          </w:p>
        </w:tc>
        <w:tc>
          <w:tcPr>
            <w:tcW w:w="1701" w:type="dxa"/>
            <w:hideMark/>
          </w:tcPr>
          <w:p w14:paraId="67BE8AAD"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18,521</w:t>
            </w:r>
          </w:p>
        </w:tc>
        <w:tc>
          <w:tcPr>
            <w:tcW w:w="2126" w:type="dxa"/>
            <w:hideMark/>
          </w:tcPr>
          <w:p w14:paraId="13DB0829"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8,529–28,513</w:t>
            </w:r>
          </w:p>
        </w:tc>
        <w:tc>
          <w:tcPr>
            <w:tcW w:w="2268" w:type="dxa"/>
            <w:hideMark/>
          </w:tcPr>
          <w:p w14:paraId="0154E925"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2.5%</w:t>
            </w:r>
          </w:p>
        </w:tc>
      </w:tr>
      <w:tr w:rsidR="00421BF8" w:rsidRPr="006F3883" w14:paraId="01AB5B6E" w14:textId="77777777" w:rsidTr="00C930BE">
        <w:tc>
          <w:tcPr>
            <w:tcW w:w="0" w:type="auto"/>
            <w:hideMark/>
          </w:tcPr>
          <w:p w14:paraId="378C6D5E"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30%</w:t>
            </w:r>
          </w:p>
        </w:tc>
        <w:tc>
          <w:tcPr>
            <w:tcW w:w="2116" w:type="dxa"/>
            <w:hideMark/>
          </w:tcPr>
          <w:p w14:paraId="214C7027" w14:textId="77777777" w:rsidR="00421BF8" w:rsidRPr="006F3883" w:rsidRDefault="00421BF8" w:rsidP="00686D04">
            <w:pPr>
              <w:spacing w:after="0" w:line="240" w:lineRule="auto"/>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Conservative</w:t>
            </w:r>
          </w:p>
        </w:tc>
        <w:tc>
          <w:tcPr>
            <w:tcW w:w="1701" w:type="dxa"/>
            <w:hideMark/>
          </w:tcPr>
          <w:p w14:paraId="0C773E7F"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23,871</w:t>
            </w:r>
          </w:p>
        </w:tc>
        <w:tc>
          <w:tcPr>
            <w:tcW w:w="2126" w:type="dxa"/>
            <w:hideMark/>
          </w:tcPr>
          <w:p w14:paraId="55A535B3"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15,017–32,726</w:t>
            </w:r>
          </w:p>
        </w:tc>
        <w:tc>
          <w:tcPr>
            <w:tcW w:w="2268" w:type="dxa"/>
            <w:hideMark/>
          </w:tcPr>
          <w:p w14:paraId="1D6D3588"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3.3%</w:t>
            </w:r>
          </w:p>
        </w:tc>
      </w:tr>
      <w:tr w:rsidR="00421BF8" w:rsidRPr="006F3883" w14:paraId="635A35F8" w14:textId="77777777" w:rsidTr="00C930BE">
        <w:tc>
          <w:tcPr>
            <w:tcW w:w="0" w:type="auto"/>
            <w:hideMark/>
          </w:tcPr>
          <w:p w14:paraId="25DF4735"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30%</w:t>
            </w:r>
          </w:p>
        </w:tc>
        <w:tc>
          <w:tcPr>
            <w:tcW w:w="2116" w:type="dxa"/>
            <w:hideMark/>
          </w:tcPr>
          <w:p w14:paraId="01BB713C" w14:textId="77777777" w:rsidR="00421BF8" w:rsidRPr="006F3883" w:rsidRDefault="00421BF8" w:rsidP="00686D04">
            <w:pPr>
              <w:spacing w:after="0" w:line="240" w:lineRule="auto"/>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Central</w:t>
            </w:r>
          </w:p>
        </w:tc>
        <w:tc>
          <w:tcPr>
            <w:tcW w:w="1701" w:type="dxa"/>
            <w:hideMark/>
          </w:tcPr>
          <w:p w14:paraId="0EF3BF06"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31,546</w:t>
            </w:r>
          </w:p>
        </w:tc>
        <w:tc>
          <w:tcPr>
            <w:tcW w:w="2126" w:type="dxa"/>
            <w:hideMark/>
          </w:tcPr>
          <w:p w14:paraId="37F413D0"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23,023–40,069</w:t>
            </w:r>
          </w:p>
        </w:tc>
        <w:tc>
          <w:tcPr>
            <w:tcW w:w="2268" w:type="dxa"/>
            <w:hideMark/>
          </w:tcPr>
          <w:p w14:paraId="4DB63D4B"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4.3%</w:t>
            </w:r>
          </w:p>
        </w:tc>
      </w:tr>
      <w:tr w:rsidR="00421BF8" w:rsidRPr="006F3883" w14:paraId="55DA0897" w14:textId="77777777" w:rsidTr="00C930BE">
        <w:tc>
          <w:tcPr>
            <w:tcW w:w="0" w:type="auto"/>
            <w:hideMark/>
          </w:tcPr>
          <w:p w14:paraId="16D54F20"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30%</w:t>
            </w:r>
          </w:p>
        </w:tc>
        <w:tc>
          <w:tcPr>
            <w:tcW w:w="2116" w:type="dxa"/>
            <w:hideMark/>
          </w:tcPr>
          <w:p w14:paraId="104944E9" w14:textId="77777777" w:rsidR="00421BF8" w:rsidRPr="006F3883" w:rsidRDefault="00421BF8" w:rsidP="00686D04">
            <w:pPr>
              <w:spacing w:after="0" w:line="240" w:lineRule="auto"/>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Optimistic</w:t>
            </w:r>
          </w:p>
        </w:tc>
        <w:tc>
          <w:tcPr>
            <w:tcW w:w="1701" w:type="dxa"/>
            <w:hideMark/>
          </w:tcPr>
          <w:p w14:paraId="65E560A8"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45,858</w:t>
            </w:r>
          </w:p>
        </w:tc>
        <w:tc>
          <w:tcPr>
            <w:tcW w:w="2126" w:type="dxa"/>
            <w:hideMark/>
          </w:tcPr>
          <w:p w14:paraId="2BB9E7D9"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38,529–53,188</w:t>
            </w:r>
          </w:p>
        </w:tc>
        <w:tc>
          <w:tcPr>
            <w:tcW w:w="2268" w:type="dxa"/>
            <w:hideMark/>
          </w:tcPr>
          <w:p w14:paraId="1F31D58B"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6.3%</w:t>
            </w:r>
          </w:p>
        </w:tc>
      </w:tr>
      <w:tr w:rsidR="00421BF8" w:rsidRPr="006F3883" w14:paraId="3D0C2E62" w14:textId="77777777" w:rsidTr="00C930BE">
        <w:tc>
          <w:tcPr>
            <w:tcW w:w="0" w:type="auto"/>
            <w:hideMark/>
          </w:tcPr>
          <w:p w14:paraId="2888738E"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50%</w:t>
            </w:r>
          </w:p>
        </w:tc>
        <w:tc>
          <w:tcPr>
            <w:tcW w:w="2116" w:type="dxa"/>
            <w:hideMark/>
          </w:tcPr>
          <w:p w14:paraId="15C5DB3E" w14:textId="77777777" w:rsidR="00421BF8" w:rsidRPr="006F3883" w:rsidRDefault="00421BF8" w:rsidP="00686D04">
            <w:pPr>
              <w:spacing w:after="0" w:line="240" w:lineRule="auto"/>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Conservative</w:t>
            </w:r>
          </w:p>
        </w:tc>
        <w:tc>
          <w:tcPr>
            <w:tcW w:w="1701" w:type="dxa"/>
            <w:hideMark/>
          </w:tcPr>
          <w:p w14:paraId="62788607"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35,670</w:t>
            </w:r>
          </w:p>
        </w:tc>
        <w:tc>
          <w:tcPr>
            <w:tcW w:w="2126" w:type="dxa"/>
            <w:hideMark/>
          </w:tcPr>
          <w:p w14:paraId="44BAB6B3"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27,050–44,290</w:t>
            </w:r>
          </w:p>
        </w:tc>
        <w:tc>
          <w:tcPr>
            <w:tcW w:w="2268" w:type="dxa"/>
            <w:hideMark/>
          </w:tcPr>
          <w:p w14:paraId="74F6D9BD"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4.9%</w:t>
            </w:r>
          </w:p>
        </w:tc>
      </w:tr>
      <w:tr w:rsidR="00421BF8" w:rsidRPr="006F3883" w14:paraId="721069D8" w14:textId="77777777" w:rsidTr="00C930BE">
        <w:tc>
          <w:tcPr>
            <w:tcW w:w="0" w:type="auto"/>
            <w:hideMark/>
          </w:tcPr>
          <w:p w14:paraId="175C2FB5"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50%</w:t>
            </w:r>
          </w:p>
        </w:tc>
        <w:tc>
          <w:tcPr>
            <w:tcW w:w="2116" w:type="dxa"/>
            <w:hideMark/>
          </w:tcPr>
          <w:p w14:paraId="469EFEE2" w14:textId="77777777" w:rsidR="00421BF8" w:rsidRPr="006F3883" w:rsidRDefault="00421BF8" w:rsidP="00686D04">
            <w:pPr>
              <w:spacing w:after="0" w:line="240" w:lineRule="auto"/>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Central</w:t>
            </w:r>
          </w:p>
        </w:tc>
        <w:tc>
          <w:tcPr>
            <w:tcW w:w="1701" w:type="dxa"/>
            <w:hideMark/>
          </w:tcPr>
          <w:p w14:paraId="5CA4EC8E"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45,333</w:t>
            </w:r>
          </w:p>
        </w:tc>
        <w:tc>
          <w:tcPr>
            <w:tcW w:w="2126" w:type="dxa"/>
            <w:hideMark/>
          </w:tcPr>
          <w:p w14:paraId="3E13F63A"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36,884–53,782</w:t>
            </w:r>
          </w:p>
        </w:tc>
        <w:tc>
          <w:tcPr>
            <w:tcW w:w="2268" w:type="dxa"/>
            <w:hideMark/>
          </w:tcPr>
          <w:p w14:paraId="2844CA44"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6.2%</w:t>
            </w:r>
          </w:p>
        </w:tc>
      </w:tr>
      <w:tr w:rsidR="00421BF8" w:rsidRPr="006F3883" w14:paraId="47B47FF2" w14:textId="77777777" w:rsidTr="00C930BE">
        <w:tc>
          <w:tcPr>
            <w:tcW w:w="0" w:type="auto"/>
            <w:hideMark/>
          </w:tcPr>
          <w:p w14:paraId="7AB966D2"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50%</w:t>
            </w:r>
          </w:p>
        </w:tc>
        <w:tc>
          <w:tcPr>
            <w:tcW w:w="2116" w:type="dxa"/>
            <w:hideMark/>
          </w:tcPr>
          <w:p w14:paraId="35AA80F3" w14:textId="77777777" w:rsidR="00421BF8" w:rsidRPr="006F3883" w:rsidRDefault="00421BF8" w:rsidP="00686D04">
            <w:pPr>
              <w:spacing w:after="0" w:line="240" w:lineRule="auto"/>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Optimistic</w:t>
            </w:r>
          </w:p>
        </w:tc>
        <w:tc>
          <w:tcPr>
            <w:tcW w:w="1701" w:type="dxa"/>
            <w:hideMark/>
          </w:tcPr>
          <w:p w14:paraId="6921AB17"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75,191</w:t>
            </w:r>
          </w:p>
        </w:tc>
        <w:tc>
          <w:tcPr>
            <w:tcW w:w="2126" w:type="dxa"/>
            <w:hideMark/>
          </w:tcPr>
          <w:p w14:paraId="4BAD6FC4"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65,724–84,659</w:t>
            </w:r>
          </w:p>
        </w:tc>
        <w:tc>
          <w:tcPr>
            <w:tcW w:w="2268" w:type="dxa"/>
            <w:hideMark/>
          </w:tcPr>
          <w:p w14:paraId="0436DC77" w14:textId="77777777" w:rsidR="00421BF8" w:rsidRPr="006F3883" w:rsidRDefault="00421BF8" w:rsidP="00686D04">
            <w:pPr>
              <w:spacing w:after="0" w:line="240" w:lineRule="auto"/>
              <w:jc w:val="right"/>
              <w:rPr>
                <w:rFonts w:ascii="Times New Roman" w:eastAsia="Times New Roman" w:hAnsi="Times New Roman" w:cs="Times New Roman"/>
                <w:sz w:val="24"/>
                <w:szCs w:val="24"/>
                <w:lang w:val="en-GB" w:eastAsia="en-GB"/>
              </w:rPr>
            </w:pPr>
            <w:r w:rsidRPr="006F3883">
              <w:rPr>
                <w:rFonts w:ascii="Times New Roman" w:eastAsia="Times New Roman" w:hAnsi="Times New Roman" w:cs="Times New Roman"/>
                <w:sz w:val="24"/>
                <w:szCs w:val="24"/>
                <w:lang w:val="en-GB" w:eastAsia="en-GB"/>
              </w:rPr>
              <w:t>10.3%</w:t>
            </w:r>
          </w:p>
        </w:tc>
      </w:tr>
    </w:tbl>
    <w:p w14:paraId="729D4206" w14:textId="77777777" w:rsidR="006E58AE" w:rsidRPr="006F3883" w:rsidRDefault="006E58AE" w:rsidP="00686D04">
      <w:pPr>
        <w:spacing w:after="0" w:line="240" w:lineRule="auto"/>
        <w:jc w:val="both"/>
        <w:rPr>
          <w:rFonts w:ascii="Times New Roman" w:hAnsi="Times New Roman" w:cs="Times New Roman"/>
          <w:i/>
          <w:iCs/>
          <w:color w:val="000000" w:themeColor="text1"/>
          <w:sz w:val="16"/>
          <w:szCs w:val="16"/>
        </w:rPr>
      </w:pPr>
      <w:r w:rsidRPr="006F3883">
        <w:rPr>
          <w:rFonts w:ascii="Times New Roman" w:hAnsi="Times New Roman" w:cs="Times New Roman"/>
          <w:i/>
          <w:iCs/>
          <w:sz w:val="15"/>
          <w:szCs w:val="15"/>
        </w:rPr>
        <w:t>Baseline no-chatbot counterfactual: approximately 732,899 national AGYW HIV infections over 2025–2035 (median; mean 727,129; IQR 696,130–762,040). Bold rows indicate scenarios in which the 95% CI excludes zero. Estimates are mean infections averted from paired stochastic simulation replicates using common random numbers. Confidence intervals and p values were calculated from paired t tests on replicate-level differences between the no-chatbot baseline and each intervention scenario.</w:t>
      </w:r>
    </w:p>
    <w:p w14:paraId="07DFFEFD" w14:textId="070F32C8" w:rsidR="009D2DD3" w:rsidRDefault="009D2DD3" w:rsidP="00686D04">
      <w:pPr>
        <w:spacing w:after="0" w:line="240" w:lineRule="auto"/>
      </w:pPr>
    </w:p>
    <w:p w14:paraId="5F490FA7" w14:textId="77777777" w:rsidR="00A75BF7" w:rsidRDefault="00A75BF7" w:rsidP="00686D04">
      <w:pPr>
        <w:spacing w:after="0" w:line="240" w:lineRule="auto"/>
      </w:pPr>
    </w:p>
    <w:p w14:paraId="0A755E2D" w14:textId="77777777" w:rsidR="00A75BF7" w:rsidRDefault="00A75BF7" w:rsidP="00686D04">
      <w:pPr>
        <w:spacing w:after="0" w:line="240" w:lineRule="auto"/>
      </w:pPr>
    </w:p>
    <w:p w14:paraId="52390F34" w14:textId="77777777" w:rsidR="00A75BF7" w:rsidRDefault="00A75BF7" w:rsidP="00686D04">
      <w:pPr>
        <w:spacing w:after="0" w:line="240" w:lineRule="auto"/>
      </w:pPr>
    </w:p>
    <w:p w14:paraId="6316A4A3" w14:textId="77777777" w:rsidR="00A75BF7" w:rsidRPr="009D2DD3" w:rsidRDefault="00A75BF7" w:rsidP="00686D04">
      <w:pPr>
        <w:spacing w:after="0" w:line="240" w:lineRule="auto"/>
      </w:pPr>
    </w:p>
    <w:p w14:paraId="7CE160E3" w14:textId="74D9C44A" w:rsidR="00761540" w:rsidRPr="008B43F6" w:rsidRDefault="00761540" w:rsidP="00686D04">
      <w:pPr>
        <w:spacing w:after="0" w:line="240" w:lineRule="auto"/>
        <w:jc w:val="both"/>
        <w:rPr>
          <w:rFonts w:ascii="Times New Roman" w:hAnsi="Times New Roman" w:cs="Times New Roman"/>
          <w:b/>
          <w:bCs/>
          <w:color w:val="000000" w:themeColor="text1"/>
          <w:sz w:val="24"/>
          <w:szCs w:val="24"/>
        </w:rPr>
      </w:pPr>
      <w:r w:rsidRPr="008B43F6">
        <w:rPr>
          <w:rStyle w:val="Strong"/>
          <w:rFonts w:ascii="Times New Roman" w:hAnsi="Times New Roman" w:cs="Times New Roman"/>
          <w:b w:val="0"/>
          <w:bCs w:val="0"/>
        </w:rPr>
        <w:t xml:space="preserve">Table </w:t>
      </w:r>
      <w:r w:rsidRPr="008B43F6">
        <w:rPr>
          <w:rStyle w:val="Strong"/>
          <w:rFonts w:ascii="Times New Roman" w:hAnsi="Times New Roman" w:cs="Times New Roman"/>
          <w:b w:val="0"/>
          <w:bCs w:val="0"/>
        </w:rPr>
        <w:t>5</w:t>
      </w:r>
      <w:r w:rsidRPr="008B43F6">
        <w:rPr>
          <w:rStyle w:val="Strong"/>
          <w:rFonts w:ascii="Times New Roman" w:hAnsi="Times New Roman" w:cs="Times New Roman"/>
          <w:b w:val="0"/>
          <w:bCs w:val="0"/>
        </w:rPr>
        <w:t xml:space="preserve">S. Projected AGYW HIV infections averted by </w:t>
      </w:r>
      <w:proofErr w:type="spellStart"/>
      <w:r w:rsidRPr="008B43F6">
        <w:rPr>
          <w:rStyle w:val="Strong"/>
          <w:rFonts w:ascii="Times New Roman" w:hAnsi="Times New Roman" w:cs="Times New Roman"/>
          <w:b w:val="0"/>
          <w:bCs w:val="0"/>
        </w:rPr>
        <w:t>PrEP</w:t>
      </w:r>
      <w:proofErr w:type="spellEnd"/>
      <w:r w:rsidRPr="008B43F6">
        <w:rPr>
          <w:rStyle w:val="Strong"/>
          <w:rFonts w:ascii="Times New Roman" w:hAnsi="Times New Roman" w:cs="Times New Roman"/>
          <w:b w:val="0"/>
          <w:bCs w:val="0"/>
        </w:rPr>
        <w:t xml:space="preserve"> demand generation and persistence-support strategies, 2025–2035.</w:t>
      </w:r>
      <w:r w:rsidRPr="008B43F6">
        <w:rPr>
          <w:rFonts w:ascii="Times New Roman" w:hAnsi="Times New Roman" w:cs="Times New Roman"/>
          <w:b/>
          <w:bCs/>
        </w:rPr>
        <w:t xml:space="preserve"> </w:t>
      </w:r>
      <w:r w:rsidRPr="008B43F6">
        <w:rPr>
          <w:rFonts w:ascii="Times New Roman" w:hAnsi="Times New Roman" w:cs="Times New Roman"/>
        </w:rPr>
        <w:t xml:space="preserve">All scenarios assume 50% AGYW reach and the central </w:t>
      </w:r>
      <w:proofErr w:type="spellStart"/>
      <w:r w:rsidRPr="008B43F6">
        <w:rPr>
          <w:rFonts w:ascii="Times New Roman" w:hAnsi="Times New Roman" w:cs="Times New Roman"/>
        </w:rPr>
        <w:t>PrEP</w:t>
      </w:r>
      <w:proofErr w:type="spellEnd"/>
      <w:r w:rsidRPr="008B43F6">
        <w:rPr>
          <w:rFonts w:ascii="Times New Roman" w:hAnsi="Times New Roman" w:cs="Times New Roman"/>
        </w:rPr>
        <w:t xml:space="preserve">-initiation effect. HIV-testing rates were held at baseline to isolate the </w:t>
      </w:r>
      <w:proofErr w:type="spellStart"/>
      <w:r w:rsidRPr="008B43F6">
        <w:rPr>
          <w:rFonts w:ascii="Times New Roman" w:hAnsi="Times New Roman" w:cs="Times New Roman"/>
        </w:rPr>
        <w:t>PrEP</w:t>
      </w:r>
      <w:proofErr w:type="spellEnd"/>
      <w:r w:rsidRPr="008B43F6">
        <w:rPr>
          <w:rFonts w:ascii="Times New Roman" w:hAnsi="Times New Roman" w:cs="Times New Roman"/>
        </w:rPr>
        <w:t xml:space="preserve"> pathway.</w:t>
      </w:r>
    </w:p>
    <w:tbl>
      <w:tblPr>
        <w:tblStyle w:val="TableGrid"/>
        <w:tblW w:w="0" w:type="auto"/>
        <w:tblLook w:val="04A0" w:firstRow="1" w:lastRow="0" w:firstColumn="1" w:lastColumn="0" w:noHBand="0" w:noVBand="1"/>
      </w:tblPr>
      <w:tblGrid>
        <w:gridCol w:w="1685"/>
        <w:gridCol w:w="2402"/>
        <w:gridCol w:w="1684"/>
        <w:gridCol w:w="1241"/>
        <w:gridCol w:w="1618"/>
      </w:tblGrid>
      <w:tr w:rsidR="00421BF8" w:rsidRPr="005458B4" w14:paraId="51A6D324" w14:textId="77777777" w:rsidTr="00704478">
        <w:tc>
          <w:tcPr>
            <w:tcW w:w="0" w:type="auto"/>
            <w:hideMark/>
          </w:tcPr>
          <w:p w14:paraId="6D4EDAED" w14:textId="77777777" w:rsidR="00421BF8" w:rsidRPr="005458B4" w:rsidRDefault="00421BF8" w:rsidP="00686D04">
            <w:pPr>
              <w:spacing w:after="0" w:line="240" w:lineRule="auto"/>
              <w:jc w:val="center"/>
              <w:rPr>
                <w:rFonts w:ascii="Times New Roman" w:eastAsia="Times New Roman" w:hAnsi="Times New Roman" w:cs="Times New Roman"/>
                <w:b/>
                <w:bCs/>
                <w:sz w:val="24"/>
                <w:szCs w:val="24"/>
                <w:lang w:val="en-GB" w:eastAsia="en-GB"/>
              </w:rPr>
            </w:pPr>
            <w:r w:rsidRPr="005458B4">
              <w:rPr>
                <w:rFonts w:ascii="Times New Roman" w:eastAsia="Times New Roman" w:hAnsi="Times New Roman" w:cs="Times New Roman"/>
                <w:b/>
                <w:bCs/>
                <w:sz w:val="24"/>
                <w:szCs w:val="24"/>
                <w:lang w:val="en-GB" w:eastAsia="en-GB"/>
              </w:rPr>
              <w:lastRenderedPageBreak/>
              <w:t>Strategy</w:t>
            </w:r>
          </w:p>
        </w:tc>
        <w:tc>
          <w:tcPr>
            <w:tcW w:w="0" w:type="auto"/>
            <w:hideMark/>
          </w:tcPr>
          <w:p w14:paraId="053196AF" w14:textId="77777777" w:rsidR="00421BF8" w:rsidRPr="005458B4" w:rsidRDefault="00421BF8" w:rsidP="00686D04">
            <w:pPr>
              <w:spacing w:after="0" w:line="240" w:lineRule="auto"/>
              <w:jc w:val="right"/>
              <w:rPr>
                <w:rFonts w:ascii="Times New Roman" w:eastAsia="Times New Roman" w:hAnsi="Times New Roman" w:cs="Times New Roman"/>
                <w:b/>
                <w:bCs/>
                <w:sz w:val="24"/>
                <w:szCs w:val="24"/>
                <w:lang w:val="en-GB" w:eastAsia="en-GB"/>
              </w:rPr>
            </w:pPr>
            <w:r w:rsidRPr="005458B4">
              <w:rPr>
                <w:rFonts w:ascii="Times New Roman" w:eastAsia="Times New Roman" w:hAnsi="Times New Roman" w:cs="Times New Roman"/>
                <w:b/>
                <w:bCs/>
                <w:sz w:val="24"/>
                <w:szCs w:val="24"/>
                <w:lang w:val="en-GB" w:eastAsia="en-GB"/>
              </w:rPr>
              <w:t xml:space="preserve">Reduction in </w:t>
            </w:r>
            <w:proofErr w:type="spellStart"/>
            <w:r w:rsidRPr="005458B4">
              <w:rPr>
                <w:rFonts w:ascii="Times New Roman" w:eastAsia="Times New Roman" w:hAnsi="Times New Roman" w:cs="Times New Roman"/>
                <w:b/>
                <w:bCs/>
                <w:sz w:val="24"/>
                <w:szCs w:val="24"/>
                <w:lang w:val="en-GB" w:eastAsia="en-GB"/>
              </w:rPr>
              <w:t>PrEP</w:t>
            </w:r>
            <w:proofErr w:type="spellEnd"/>
            <w:r w:rsidRPr="005458B4">
              <w:rPr>
                <w:rFonts w:ascii="Times New Roman" w:eastAsia="Times New Roman" w:hAnsi="Times New Roman" w:cs="Times New Roman"/>
                <w:b/>
                <w:bCs/>
                <w:sz w:val="24"/>
                <w:szCs w:val="24"/>
                <w:lang w:val="en-GB" w:eastAsia="en-GB"/>
              </w:rPr>
              <w:t xml:space="preserve"> discontinuation</w:t>
            </w:r>
          </w:p>
        </w:tc>
        <w:tc>
          <w:tcPr>
            <w:tcW w:w="0" w:type="auto"/>
            <w:hideMark/>
          </w:tcPr>
          <w:p w14:paraId="5A6E704B" w14:textId="77777777" w:rsidR="00421BF8" w:rsidRPr="005458B4" w:rsidRDefault="00421BF8" w:rsidP="00686D04">
            <w:pPr>
              <w:spacing w:after="0" w:line="240" w:lineRule="auto"/>
              <w:jc w:val="right"/>
              <w:rPr>
                <w:rFonts w:ascii="Times New Roman" w:eastAsia="Times New Roman" w:hAnsi="Times New Roman" w:cs="Times New Roman"/>
                <w:b/>
                <w:bCs/>
                <w:sz w:val="24"/>
                <w:szCs w:val="24"/>
                <w:lang w:val="en-GB" w:eastAsia="en-GB"/>
              </w:rPr>
            </w:pPr>
            <w:r w:rsidRPr="005458B4">
              <w:rPr>
                <w:rFonts w:ascii="Times New Roman" w:eastAsia="Times New Roman" w:hAnsi="Times New Roman" w:cs="Times New Roman"/>
                <w:b/>
                <w:bCs/>
                <w:sz w:val="24"/>
                <w:szCs w:val="24"/>
                <w:lang w:val="en-GB" w:eastAsia="en-GB"/>
              </w:rPr>
              <w:t>Infections averted, mean</w:t>
            </w:r>
          </w:p>
        </w:tc>
        <w:tc>
          <w:tcPr>
            <w:tcW w:w="0" w:type="auto"/>
            <w:hideMark/>
          </w:tcPr>
          <w:p w14:paraId="59D6DA57" w14:textId="77777777" w:rsidR="00421BF8" w:rsidRPr="005458B4" w:rsidRDefault="00421BF8" w:rsidP="00686D04">
            <w:pPr>
              <w:spacing w:after="0" w:line="240" w:lineRule="auto"/>
              <w:jc w:val="right"/>
              <w:rPr>
                <w:rFonts w:ascii="Times New Roman" w:eastAsia="Times New Roman" w:hAnsi="Times New Roman" w:cs="Times New Roman"/>
                <w:b/>
                <w:bCs/>
                <w:sz w:val="24"/>
                <w:szCs w:val="24"/>
                <w:lang w:val="en-GB" w:eastAsia="en-GB"/>
              </w:rPr>
            </w:pPr>
            <w:r w:rsidRPr="005458B4">
              <w:rPr>
                <w:rFonts w:ascii="Times New Roman" w:eastAsia="Times New Roman" w:hAnsi="Times New Roman" w:cs="Times New Roman"/>
                <w:b/>
                <w:bCs/>
                <w:sz w:val="24"/>
                <w:szCs w:val="24"/>
                <w:lang w:val="en-GB" w:eastAsia="en-GB"/>
              </w:rPr>
              <w:t>95% CI</w:t>
            </w:r>
          </w:p>
        </w:tc>
        <w:tc>
          <w:tcPr>
            <w:tcW w:w="0" w:type="auto"/>
            <w:hideMark/>
          </w:tcPr>
          <w:p w14:paraId="1C8C690D" w14:textId="77777777" w:rsidR="00421BF8" w:rsidRPr="005458B4" w:rsidRDefault="00421BF8" w:rsidP="00686D04">
            <w:pPr>
              <w:spacing w:after="0" w:line="240" w:lineRule="auto"/>
              <w:jc w:val="center"/>
              <w:rPr>
                <w:rFonts w:ascii="Times New Roman" w:eastAsia="Times New Roman" w:hAnsi="Times New Roman" w:cs="Times New Roman"/>
                <w:b/>
                <w:bCs/>
                <w:sz w:val="24"/>
                <w:szCs w:val="24"/>
                <w:lang w:val="en-GB" w:eastAsia="en-GB"/>
              </w:rPr>
            </w:pPr>
            <w:r w:rsidRPr="005458B4">
              <w:rPr>
                <w:rFonts w:ascii="Times New Roman" w:eastAsia="Times New Roman" w:hAnsi="Times New Roman" w:cs="Times New Roman"/>
                <w:b/>
                <w:bCs/>
                <w:sz w:val="24"/>
                <w:szCs w:val="24"/>
                <w:lang w:val="en-GB" w:eastAsia="en-GB"/>
              </w:rPr>
              <w:t>Infections averted (%)</w:t>
            </w:r>
          </w:p>
        </w:tc>
      </w:tr>
      <w:tr w:rsidR="00421BF8" w:rsidRPr="005458B4" w14:paraId="4C9A7946" w14:textId="77777777" w:rsidTr="00704478">
        <w:tc>
          <w:tcPr>
            <w:tcW w:w="0" w:type="auto"/>
            <w:hideMark/>
          </w:tcPr>
          <w:p w14:paraId="07FEE77F" w14:textId="77777777" w:rsidR="00421BF8" w:rsidRPr="005458B4" w:rsidRDefault="00421BF8" w:rsidP="00686D04">
            <w:pPr>
              <w:spacing w:after="0" w:line="240" w:lineRule="auto"/>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Demand generation only</w:t>
            </w:r>
          </w:p>
        </w:tc>
        <w:tc>
          <w:tcPr>
            <w:tcW w:w="0" w:type="auto"/>
            <w:hideMark/>
          </w:tcPr>
          <w:p w14:paraId="59039753"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p>
        </w:tc>
        <w:tc>
          <w:tcPr>
            <w:tcW w:w="0" w:type="auto"/>
            <w:hideMark/>
          </w:tcPr>
          <w:p w14:paraId="79D14116"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43,192</w:t>
            </w:r>
          </w:p>
        </w:tc>
        <w:tc>
          <w:tcPr>
            <w:tcW w:w="0" w:type="auto"/>
            <w:hideMark/>
          </w:tcPr>
          <w:p w14:paraId="6BBAE572"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25,852–60,531</w:t>
            </w:r>
          </w:p>
        </w:tc>
        <w:tc>
          <w:tcPr>
            <w:tcW w:w="0" w:type="auto"/>
            <w:hideMark/>
          </w:tcPr>
          <w:p w14:paraId="564FC08B" w14:textId="77777777" w:rsidR="00421BF8" w:rsidRPr="005458B4" w:rsidRDefault="00421BF8" w:rsidP="00686D04">
            <w:pPr>
              <w:spacing w:after="0" w:line="240" w:lineRule="auto"/>
              <w:jc w:val="center"/>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5.8%</w:t>
            </w:r>
          </w:p>
        </w:tc>
      </w:tr>
      <w:tr w:rsidR="00421BF8" w:rsidRPr="005458B4" w14:paraId="0A98633D" w14:textId="77777777" w:rsidTr="00704478">
        <w:tc>
          <w:tcPr>
            <w:tcW w:w="0" w:type="auto"/>
            <w:hideMark/>
          </w:tcPr>
          <w:p w14:paraId="5D2B5808" w14:textId="77777777" w:rsidR="00421BF8" w:rsidRPr="005458B4" w:rsidRDefault="00421BF8" w:rsidP="00686D04">
            <w:pPr>
              <w:spacing w:after="0" w:line="240" w:lineRule="auto"/>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Persistence support only</w:t>
            </w:r>
          </w:p>
        </w:tc>
        <w:tc>
          <w:tcPr>
            <w:tcW w:w="0" w:type="auto"/>
            <w:hideMark/>
          </w:tcPr>
          <w:p w14:paraId="62DD106F"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20%</w:t>
            </w:r>
          </w:p>
        </w:tc>
        <w:tc>
          <w:tcPr>
            <w:tcW w:w="0" w:type="auto"/>
            <w:hideMark/>
          </w:tcPr>
          <w:p w14:paraId="55CC50E2"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7,310</w:t>
            </w:r>
          </w:p>
        </w:tc>
        <w:tc>
          <w:tcPr>
            <w:tcW w:w="0" w:type="auto"/>
            <w:hideMark/>
          </w:tcPr>
          <w:p w14:paraId="1A47D0C9"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−9,864–24,483</w:t>
            </w:r>
          </w:p>
        </w:tc>
        <w:tc>
          <w:tcPr>
            <w:tcW w:w="0" w:type="auto"/>
            <w:hideMark/>
          </w:tcPr>
          <w:p w14:paraId="2D114532" w14:textId="77777777" w:rsidR="00421BF8" w:rsidRPr="005458B4" w:rsidRDefault="00421BF8" w:rsidP="00686D04">
            <w:pPr>
              <w:spacing w:after="0" w:line="240" w:lineRule="auto"/>
              <w:jc w:val="center"/>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1.0%</w:t>
            </w:r>
          </w:p>
        </w:tc>
      </w:tr>
      <w:tr w:rsidR="00421BF8" w:rsidRPr="005458B4" w14:paraId="56A11668" w14:textId="77777777" w:rsidTr="00704478">
        <w:tc>
          <w:tcPr>
            <w:tcW w:w="0" w:type="auto"/>
            <w:hideMark/>
          </w:tcPr>
          <w:p w14:paraId="1323C6FF" w14:textId="77777777" w:rsidR="00421BF8" w:rsidRPr="005458B4" w:rsidRDefault="00421BF8" w:rsidP="00686D04">
            <w:pPr>
              <w:spacing w:after="0" w:line="240" w:lineRule="auto"/>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Persistence support only</w:t>
            </w:r>
          </w:p>
        </w:tc>
        <w:tc>
          <w:tcPr>
            <w:tcW w:w="0" w:type="auto"/>
            <w:hideMark/>
          </w:tcPr>
          <w:p w14:paraId="5E95E214"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40%</w:t>
            </w:r>
          </w:p>
        </w:tc>
        <w:tc>
          <w:tcPr>
            <w:tcW w:w="0" w:type="auto"/>
            <w:hideMark/>
          </w:tcPr>
          <w:p w14:paraId="370EF102"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27,465</w:t>
            </w:r>
          </w:p>
        </w:tc>
        <w:tc>
          <w:tcPr>
            <w:tcW w:w="0" w:type="auto"/>
            <w:hideMark/>
          </w:tcPr>
          <w:p w14:paraId="5340A81A"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7,623–47,306</w:t>
            </w:r>
          </w:p>
        </w:tc>
        <w:tc>
          <w:tcPr>
            <w:tcW w:w="0" w:type="auto"/>
            <w:hideMark/>
          </w:tcPr>
          <w:p w14:paraId="5E4D4D73" w14:textId="77777777" w:rsidR="00421BF8" w:rsidRPr="005458B4" w:rsidRDefault="00421BF8" w:rsidP="00686D04">
            <w:pPr>
              <w:spacing w:after="0" w:line="240" w:lineRule="auto"/>
              <w:jc w:val="center"/>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3.7%</w:t>
            </w:r>
          </w:p>
        </w:tc>
      </w:tr>
      <w:tr w:rsidR="00421BF8" w:rsidRPr="005458B4" w14:paraId="4AA839BD" w14:textId="77777777" w:rsidTr="00704478">
        <w:tc>
          <w:tcPr>
            <w:tcW w:w="0" w:type="auto"/>
            <w:hideMark/>
          </w:tcPr>
          <w:p w14:paraId="7CE5879E" w14:textId="77777777" w:rsidR="00421BF8" w:rsidRPr="005458B4" w:rsidRDefault="00421BF8" w:rsidP="00686D04">
            <w:pPr>
              <w:spacing w:after="0" w:line="240" w:lineRule="auto"/>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Persistence support only</w:t>
            </w:r>
          </w:p>
        </w:tc>
        <w:tc>
          <w:tcPr>
            <w:tcW w:w="0" w:type="auto"/>
            <w:hideMark/>
          </w:tcPr>
          <w:p w14:paraId="0C90B190"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60%</w:t>
            </w:r>
          </w:p>
        </w:tc>
        <w:tc>
          <w:tcPr>
            <w:tcW w:w="0" w:type="auto"/>
            <w:hideMark/>
          </w:tcPr>
          <w:p w14:paraId="25F889DA"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38,010</w:t>
            </w:r>
          </w:p>
        </w:tc>
        <w:tc>
          <w:tcPr>
            <w:tcW w:w="0" w:type="auto"/>
            <w:hideMark/>
          </w:tcPr>
          <w:p w14:paraId="4ACD2DF0"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22,275–53,746</w:t>
            </w:r>
          </w:p>
        </w:tc>
        <w:tc>
          <w:tcPr>
            <w:tcW w:w="0" w:type="auto"/>
            <w:hideMark/>
          </w:tcPr>
          <w:p w14:paraId="013E35F2" w14:textId="77777777" w:rsidR="00421BF8" w:rsidRPr="005458B4" w:rsidRDefault="00421BF8" w:rsidP="00686D04">
            <w:pPr>
              <w:spacing w:after="0" w:line="240" w:lineRule="auto"/>
              <w:jc w:val="center"/>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5.1%</w:t>
            </w:r>
          </w:p>
        </w:tc>
      </w:tr>
      <w:tr w:rsidR="00421BF8" w:rsidRPr="005458B4" w14:paraId="28A81F1D" w14:textId="77777777" w:rsidTr="00704478">
        <w:tc>
          <w:tcPr>
            <w:tcW w:w="0" w:type="auto"/>
            <w:hideMark/>
          </w:tcPr>
          <w:p w14:paraId="32BBE3AD" w14:textId="77777777" w:rsidR="00421BF8" w:rsidRPr="005458B4" w:rsidRDefault="00421BF8" w:rsidP="00686D04">
            <w:pPr>
              <w:spacing w:after="0" w:line="240" w:lineRule="auto"/>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Both strategies</w:t>
            </w:r>
          </w:p>
        </w:tc>
        <w:tc>
          <w:tcPr>
            <w:tcW w:w="0" w:type="auto"/>
            <w:hideMark/>
          </w:tcPr>
          <w:p w14:paraId="6D1A24E2"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20%</w:t>
            </w:r>
          </w:p>
        </w:tc>
        <w:tc>
          <w:tcPr>
            <w:tcW w:w="0" w:type="auto"/>
            <w:hideMark/>
          </w:tcPr>
          <w:p w14:paraId="1F05E56B"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77,035</w:t>
            </w:r>
          </w:p>
        </w:tc>
        <w:tc>
          <w:tcPr>
            <w:tcW w:w="0" w:type="auto"/>
            <w:hideMark/>
          </w:tcPr>
          <w:p w14:paraId="403F0254"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63,437–90,633</w:t>
            </w:r>
          </w:p>
        </w:tc>
        <w:tc>
          <w:tcPr>
            <w:tcW w:w="0" w:type="auto"/>
            <w:hideMark/>
          </w:tcPr>
          <w:p w14:paraId="2BE26E24" w14:textId="77777777" w:rsidR="00421BF8" w:rsidRPr="005458B4" w:rsidRDefault="00421BF8" w:rsidP="00686D04">
            <w:pPr>
              <w:spacing w:after="0" w:line="240" w:lineRule="auto"/>
              <w:jc w:val="center"/>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10.3%</w:t>
            </w:r>
          </w:p>
        </w:tc>
      </w:tr>
      <w:tr w:rsidR="00421BF8" w:rsidRPr="005458B4" w14:paraId="5DBF790F" w14:textId="77777777" w:rsidTr="00704478">
        <w:tc>
          <w:tcPr>
            <w:tcW w:w="0" w:type="auto"/>
            <w:hideMark/>
          </w:tcPr>
          <w:p w14:paraId="54BE72AD" w14:textId="77777777" w:rsidR="00421BF8" w:rsidRPr="005458B4" w:rsidRDefault="00421BF8" w:rsidP="00686D04">
            <w:pPr>
              <w:spacing w:after="0" w:line="240" w:lineRule="auto"/>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Both strategies</w:t>
            </w:r>
          </w:p>
        </w:tc>
        <w:tc>
          <w:tcPr>
            <w:tcW w:w="0" w:type="auto"/>
            <w:hideMark/>
          </w:tcPr>
          <w:p w14:paraId="29423A34"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40%</w:t>
            </w:r>
          </w:p>
        </w:tc>
        <w:tc>
          <w:tcPr>
            <w:tcW w:w="0" w:type="auto"/>
            <w:hideMark/>
          </w:tcPr>
          <w:p w14:paraId="6CBFB12F"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86,480</w:t>
            </w:r>
          </w:p>
        </w:tc>
        <w:tc>
          <w:tcPr>
            <w:tcW w:w="0" w:type="auto"/>
            <w:hideMark/>
          </w:tcPr>
          <w:p w14:paraId="10FD3F2E"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73,222–99,738</w:t>
            </w:r>
          </w:p>
        </w:tc>
        <w:tc>
          <w:tcPr>
            <w:tcW w:w="0" w:type="auto"/>
            <w:hideMark/>
          </w:tcPr>
          <w:p w14:paraId="28BFB640" w14:textId="77777777" w:rsidR="00421BF8" w:rsidRPr="005458B4" w:rsidRDefault="00421BF8" w:rsidP="00686D04">
            <w:pPr>
              <w:spacing w:after="0" w:line="240" w:lineRule="auto"/>
              <w:jc w:val="center"/>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11.6%</w:t>
            </w:r>
          </w:p>
        </w:tc>
      </w:tr>
      <w:tr w:rsidR="00421BF8" w:rsidRPr="005458B4" w14:paraId="2E4E6BE7" w14:textId="77777777" w:rsidTr="00704478">
        <w:tc>
          <w:tcPr>
            <w:tcW w:w="0" w:type="auto"/>
            <w:hideMark/>
          </w:tcPr>
          <w:p w14:paraId="15941D0D" w14:textId="77777777" w:rsidR="00421BF8" w:rsidRPr="005458B4" w:rsidRDefault="00421BF8" w:rsidP="00686D04">
            <w:pPr>
              <w:spacing w:after="0" w:line="240" w:lineRule="auto"/>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Both strategies</w:t>
            </w:r>
          </w:p>
        </w:tc>
        <w:tc>
          <w:tcPr>
            <w:tcW w:w="0" w:type="auto"/>
            <w:hideMark/>
          </w:tcPr>
          <w:p w14:paraId="6E2B4513"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60%</w:t>
            </w:r>
          </w:p>
        </w:tc>
        <w:tc>
          <w:tcPr>
            <w:tcW w:w="0" w:type="auto"/>
            <w:hideMark/>
          </w:tcPr>
          <w:p w14:paraId="0D05E371"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108,253</w:t>
            </w:r>
          </w:p>
        </w:tc>
        <w:tc>
          <w:tcPr>
            <w:tcW w:w="0" w:type="auto"/>
            <w:hideMark/>
          </w:tcPr>
          <w:p w14:paraId="35F30AFE" w14:textId="77777777" w:rsidR="00421BF8" w:rsidRPr="005458B4" w:rsidRDefault="00421BF8" w:rsidP="00686D04">
            <w:pPr>
              <w:spacing w:after="0" w:line="240" w:lineRule="auto"/>
              <w:jc w:val="right"/>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90,444–126,063</w:t>
            </w:r>
          </w:p>
        </w:tc>
        <w:tc>
          <w:tcPr>
            <w:tcW w:w="0" w:type="auto"/>
            <w:hideMark/>
          </w:tcPr>
          <w:p w14:paraId="48E90415" w14:textId="77777777" w:rsidR="00421BF8" w:rsidRPr="005458B4" w:rsidRDefault="00421BF8" w:rsidP="00686D04">
            <w:pPr>
              <w:spacing w:after="0" w:line="240" w:lineRule="auto"/>
              <w:jc w:val="center"/>
              <w:rPr>
                <w:rFonts w:ascii="Times New Roman" w:eastAsia="Times New Roman" w:hAnsi="Times New Roman" w:cs="Times New Roman"/>
                <w:sz w:val="24"/>
                <w:szCs w:val="24"/>
                <w:lang w:val="en-GB" w:eastAsia="en-GB"/>
              </w:rPr>
            </w:pPr>
            <w:r w:rsidRPr="005458B4">
              <w:rPr>
                <w:rFonts w:ascii="Times New Roman" w:eastAsia="Times New Roman" w:hAnsi="Times New Roman" w:cs="Times New Roman"/>
                <w:sz w:val="24"/>
                <w:szCs w:val="24"/>
                <w:lang w:val="en-GB" w:eastAsia="en-GB"/>
              </w:rPr>
              <w:t>14.5%</w:t>
            </w:r>
          </w:p>
        </w:tc>
      </w:tr>
    </w:tbl>
    <w:p w14:paraId="118E4155" w14:textId="77777777" w:rsidR="00761540" w:rsidRDefault="00761540" w:rsidP="00686D04">
      <w:pPr>
        <w:spacing w:after="0" w:line="240" w:lineRule="auto"/>
        <w:rPr>
          <w:i/>
          <w:iCs/>
          <w:sz w:val="16"/>
          <w:szCs w:val="16"/>
        </w:rPr>
      </w:pPr>
      <w:r w:rsidRPr="005458B4">
        <w:rPr>
          <w:i/>
          <w:iCs/>
          <w:sz w:val="16"/>
          <w:szCs w:val="16"/>
        </w:rPr>
        <w:t>Values are nationally scaled paired differences between the no-chatbot counterfactual and each intervention strategy. Confidence intervals and p values were calculated from paired t tests on replicate-level differences using a common-random-number design. Percentages are relative to cumulative AGYW infections in the no-chatbot counterfactual.</w:t>
      </w:r>
    </w:p>
    <w:p w14:paraId="381805CC" w14:textId="77777777" w:rsidR="00416340" w:rsidRPr="00796CDC" w:rsidRDefault="00416340" w:rsidP="00686D04">
      <w:pPr>
        <w:spacing w:after="0" w:line="240" w:lineRule="auto"/>
        <w:rPr>
          <w:rFonts w:ascii="Times New Roman" w:hAnsi="Times New Roman" w:cs="Times New Roman"/>
          <w:color w:val="000000" w:themeColor="text1"/>
          <w:sz w:val="24"/>
          <w:szCs w:val="24"/>
        </w:rPr>
      </w:pPr>
    </w:p>
    <w:sectPr w:rsidR="00416340" w:rsidRPr="00796CDC" w:rsidSect="00034616">
      <w:footerReference w:type="even" r:id="rId17"/>
      <w:footerReference w:type="default" r:id="rId18"/>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en Abdulzeid" w:date="2026-06-15T10:06:00Z" w:initials="YA">
    <w:p w14:paraId="6E0DB8B4" w14:textId="77777777" w:rsidR="006935D3" w:rsidRDefault="006935D3" w:rsidP="006935D3">
      <w:r>
        <w:rPr>
          <w:rStyle w:val="CommentReference"/>
        </w:rPr>
        <w:annotationRef/>
      </w:r>
      <w:r>
        <w:rPr>
          <w:sz w:val="20"/>
          <w:szCs w:val="20"/>
        </w:rPr>
        <w:t>Rewrite</w:t>
      </w:r>
    </w:p>
  </w:comment>
  <w:comment w:id="1" w:author="Yen Abdulzeid" w:date="2026-06-15T10:07:00Z" w:initials="YA">
    <w:p w14:paraId="06D2CEAC" w14:textId="77777777" w:rsidR="006935D3" w:rsidRDefault="006935D3" w:rsidP="006935D3">
      <w:r>
        <w:rPr>
          <w:rStyle w:val="CommentReference"/>
        </w:rPr>
        <w:annotationRef/>
      </w:r>
      <w:r>
        <w:rPr>
          <w:sz w:val="20"/>
          <w:szCs w:val="20"/>
        </w:rPr>
        <w:t xml:space="preserve">Specify whether to use chatbot or Aimee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0DB8B4" w15:done="0"/>
  <w15:commentEx w15:paraId="06D2CE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86E13E" w16cex:dateUtc="2026-06-15T07:06:00Z"/>
  <w16cex:commentExtensible w16cex:durableId="03630978" w16cex:dateUtc="2026-06-15T07: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0DB8B4" w16cid:durableId="1186E13E"/>
  <w16cid:commentId w16cid:paraId="06D2CEAC" w16cid:durableId="036309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43892" w14:textId="77777777" w:rsidR="000E550A" w:rsidRDefault="000E550A" w:rsidP="00965A15">
      <w:pPr>
        <w:spacing w:after="0" w:line="240" w:lineRule="auto"/>
      </w:pPr>
      <w:r>
        <w:separator/>
      </w:r>
    </w:p>
  </w:endnote>
  <w:endnote w:type="continuationSeparator" w:id="0">
    <w:p w14:paraId="211D8ED0" w14:textId="77777777" w:rsidR="000E550A" w:rsidRDefault="000E550A" w:rsidP="00965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8050659"/>
      <w:docPartObj>
        <w:docPartGallery w:val="Page Numbers (Bottom of Page)"/>
        <w:docPartUnique/>
      </w:docPartObj>
    </w:sdtPr>
    <w:sdtContent>
      <w:p w14:paraId="61A0DC07" w14:textId="125D0DB8" w:rsidR="00965A15" w:rsidRDefault="00965A15" w:rsidP="008305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911A0B" w14:textId="77777777" w:rsidR="00965A15" w:rsidRDefault="00965A15" w:rsidP="00965A1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3696267"/>
      <w:docPartObj>
        <w:docPartGallery w:val="Page Numbers (Bottom of Page)"/>
        <w:docPartUnique/>
      </w:docPartObj>
    </w:sdtPr>
    <w:sdtContent>
      <w:p w14:paraId="64F37D56" w14:textId="10A66F39" w:rsidR="00965A15" w:rsidRDefault="00965A15" w:rsidP="008305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CA01933" w14:textId="77777777" w:rsidR="00965A15" w:rsidRDefault="00965A15" w:rsidP="00965A1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55AE6" w14:textId="77777777" w:rsidR="000E550A" w:rsidRDefault="000E550A" w:rsidP="00965A15">
      <w:pPr>
        <w:spacing w:after="0" w:line="240" w:lineRule="auto"/>
      </w:pPr>
      <w:r>
        <w:separator/>
      </w:r>
    </w:p>
  </w:footnote>
  <w:footnote w:type="continuationSeparator" w:id="0">
    <w:p w14:paraId="2C18476E" w14:textId="77777777" w:rsidR="000E550A" w:rsidRDefault="000E550A" w:rsidP="00965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2895141">
    <w:abstractNumId w:val="8"/>
  </w:num>
  <w:num w:numId="2" w16cid:durableId="1713728711">
    <w:abstractNumId w:val="6"/>
  </w:num>
  <w:num w:numId="3" w16cid:durableId="1586501487">
    <w:abstractNumId w:val="5"/>
  </w:num>
  <w:num w:numId="4" w16cid:durableId="867907711">
    <w:abstractNumId w:val="4"/>
  </w:num>
  <w:num w:numId="5" w16cid:durableId="181287937">
    <w:abstractNumId w:val="7"/>
  </w:num>
  <w:num w:numId="6" w16cid:durableId="1841192721">
    <w:abstractNumId w:val="3"/>
  </w:num>
  <w:num w:numId="7" w16cid:durableId="938219123">
    <w:abstractNumId w:val="2"/>
  </w:num>
  <w:num w:numId="8" w16cid:durableId="1946646450">
    <w:abstractNumId w:val="1"/>
  </w:num>
  <w:num w:numId="9" w16cid:durableId="9675324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en Abdulzeid">
    <w15:presenceInfo w15:providerId="AD" w15:userId="S::yen.abdulzeid@ahpc.gov.gh::e77d15ce-95cc-486b-8fb1-853fb2711e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29B5"/>
    <w:rsid w:val="000E550A"/>
    <w:rsid w:val="0015074B"/>
    <w:rsid w:val="00150E3D"/>
    <w:rsid w:val="001B77FC"/>
    <w:rsid w:val="001F0632"/>
    <w:rsid w:val="0029639D"/>
    <w:rsid w:val="002C42D0"/>
    <w:rsid w:val="00326F90"/>
    <w:rsid w:val="003F61E2"/>
    <w:rsid w:val="00416340"/>
    <w:rsid w:val="00421BF8"/>
    <w:rsid w:val="00455283"/>
    <w:rsid w:val="00474C1E"/>
    <w:rsid w:val="00516A56"/>
    <w:rsid w:val="00516BC3"/>
    <w:rsid w:val="0053251A"/>
    <w:rsid w:val="005458B4"/>
    <w:rsid w:val="005B4BAB"/>
    <w:rsid w:val="00686D04"/>
    <w:rsid w:val="006935D3"/>
    <w:rsid w:val="006A62EA"/>
    <w:rsid w:val="006D3605"/>
    <w:rsid w:val="006E2F12"/>
    <w:rsid w:val="006E58AE"/>
    <w:rsid w:val="006E6814"/>
    <w:rsid w:val="006F3883"/>
    <w:rsid w:val="0071347A"/>
    <w:rsid w:val="00740DA2"/>
    <w:rsid w:val="00761540"/>
    <w:rsid w:val="00796CDC"/>
    <w:rsid w:val="008B43F6"/>
    <w:rsid w:val="00960873"/>
    <w:rsid w:val="00965A15"/>
    <w:rsid w:val="009C6341"/>
    <w:rsid w:val="009D2DD3"/>
    <w:rsid w:val="009D5B1A"/>
    <w:rsid w:val="00A75BF7"/>
    <w:rsid w:val="00AA1D8D"/>
    <w:rsid w:val="00AA62CE"/>
    <w:rsid w:val="00B47730"/>
    <w:rsid w:val="00C930BE"/>
    <w:rsid w:val="00CB0664"/>
    <w:rsid w:val="00CE441C"/>
    <w:rsid w:val="00CF5B76"/>
    <w:rsid w:val="00D07D65"/>
    <w:rsid w:val="00D15CD0"/>
    <w:rsid w:val="00D574B6"/>
    <w:rsid w:val="00DB43EC"/>
    <w:rsid w:val="00E5068D"/>
    <w:rsid w:val="00E71DE8"/>
    <w:rsid w:val="00ED17E4"/>
    <w:rsid w:val="00F34F70"/>
    <w:rsid w:val="00F65F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AB9A6C"/>
  <w14:defaultImageDpi w14:val="300"/>
  <w15:docId w15:val="{6EBD725B-BD45-6649-9747-AC16A67AE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796CDC"/>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PlainTable1">
    <w:name w:val="Plain Table 1"/>
    <w:basedOn w:val="TableNormal"/>
    <w:uiPriority w:val="99"/>
    <w:rsid w:val="001B7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99"/>
    <w:rsid w:val="001B77F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isselectedend">
    <w:name w:val="isselectedend"/>
    <w:basedOn w:val="Normal"/>
    <w:rsid w:val="00D07D6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text-token-text-primary">
    <w:name w:val="text-token-text-primary"/>
    <w:basedOn w:val="DefaultParagraphFont"/>
    <w:rsid w:val="00D07D65"/>
  </w:style>
  <w:style w:type="character" w:styleId="PlaceholderText">
    <w:name w:val="Placeholder Text"/>
    <w:basedOn w:val="DefaultParagraphFont"/>
    <w:uiPriority w:val="99"/>
    <w:semiHidden/>
    <w:rsid w:val="002C42D0"/>
    <w:rPr>
      <w:color w:val="666666"/>
    </w:rPr>
  </w:style>
  <w:style w:type="table" w:styleId="PlainTable2">
    <w:name w:val="Plain Table 2"/>
    <w:basedOn w:val="TableNormal"/>
    <w:uiPriority w:val="99"/>
    <w:rsid w:val="002C42D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ageNumber">
    <w:name w:val="page number"/>
    <w:basedOn w:val="DefaultParagraphFont"/>
    <w:uiPriority w:val="99"/>
    <w:semiHidden/>
    <w:unhideWhenUsed/>
    <w:rsid w:val="00965A15"/>
  </w:style>
  <w:style w:type="table" w:styleId="GridTable7ColourfulAccent2">
    <w:name w:val="Grid Table 7 Colorful Accent 2"/>
    <w:basedOn w:val="TableNormal"/>
    <w:uiPriority w:val="52"/>
    <w:rsid w:val="00F34F70"/>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character" w:styleId="CommentReference">
    <w:name w:val="annotation reference"/>
    <w:basedOn w:val="DefaultParagraphFont"/>
    <w:uiPriority w:val="99"/>
    <w:semiHidden/>
    <w:unhideWhenUsed/>
    <w:rsid w:val="006935D3"/>
    <w:rPr>
      <w:sz w:val="16"/>
      <w:szCs w:val="16"/>
    </w:rPr>
  </w:style>
  <w:style w:type="paragraph" w:styleId="CommentText">
    <w:name w:val="annotation text"/>
    <w:basedOn w:val="Normal"/>
    <w:link w:val="CommentTextChar"/>
    <w:uiPriority w:val="99"/>
    <w:semiHidden/>
    <w:unhideWhenUsed/>
    <w:rsid w:val="006935D3"/>
    <w:pPr>
      <w:spacing w:line="240" w:lineRule="auto"/>
    </w:pPr>
    <w:rPr>
      <w:sz w:val="20"/>
      <w:szCs w:val="20"/>
    </w:rPr>
  </w:style>
  <w:style w:type="character" w:customStyle="1" w:styleId="CommentTextChar">
    <w:name w:val="Comment Text Char"/>
    <w:basedOn w:val="DefaultParagraphFont"/>
    <w:link w:val="CommentText"/>
    <w:uiPriority w:val="99"/>
    <w:semiHidden/>
    <w:rsid w:val="006935D3"/>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6935D3"/>
    <w:rPr>
      <w:b/>
      <w:bCs/>
    </w:rPr>
  </w:style>
  <w:style w:type="character" w:customStyle="1" w:styleId="CommentSubjectChar">
    <w:name w:val="Comment Subject Char"/>
    <w:basedOn w:val="CommentTextChar"/>
    <w:link w:val="CommentSubject"/>
    <w:uiPriority w:val="99"/>
    <w:semiHidden/>
    <w:rsid w:val="006935D3"/>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21</Pages>
  <Words>8351</Words>
  <Characters>47607</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Yen Abdulzeid</cp:lastModifiedBy>
  <cp:revision>15</cp:revision>
  <dcterms:created xsi:type="dcterms:W3CDTF">2026-06-14T12:29:00Z</dcterms:created>
  <dcterms:modified xsi:type="dcterms:W3CDTF">2026-06-15T22:38:00Z</dcterms:modified>
  <cp:category/>
</cp:coreProperties>
</file>