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w:t>
      </w:r>
      <w:r>
        <w:rPr>
          <w:b/>
          <w:i w:val="0"/>
        </w:rPr>
        <w:t>6.2% of infections (45,333; 95% CI 36,884–53,782; p &lt; 0.001)</w:t>
      </w:r>
      <w:r>
        <w:rPr>
          <w:i w:val="0"/>
        </w:rPr>
        <w:t xml:space="preserve"> under the central assumption and </w:t>
      </w:r>
      <w:r>
        <w:rPr>
          <w:b/>
          <w:i w:val="0"/>
        </w:rPr>
        <w:t>10.3% (75,191; 65,724–84,659; p &lt; 0.001)</w:t>
      </w:r>
      <w:r>
        <w:rPr>
          <w:i w:val="0"/>
        </w:rPr>
        <w:t xml:space="preserve"> under the optimistic assumption; effects were statistically supported in eight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Vital dynamics comprised aging, entry of new susceptible 15-year-olds, and exit by background mortality, AIDS mortality, and aging out at age 50.</w:t>
      </w:r>
    </w:p>
    <w:p>
      <w:pPr>
        <w:pStyle w:val="Heading2"/>
      </w:pPr>
      <w:r>
        <w:t>HIV natural history, transmission, and care cascade</w:t>
      </w:r>
    </w:p>
    <w:p>
      <w:r>
        <w:rPr>
          <w:i w:val="0"/>
        </w:rPr>
        <w:t>HIV progression was modelled as susceptible → acute → chronic → AIDS, with stage-specific relative infectiousness (acute 5×, AIDS 2× the chronic reference). Per-partnership transmission each weekly time step was a function of a per-act transmission probability, the number of sex acts (5/week main, 2/week casual), infector stage, and ART status (treatment-as-prevention: virally suppressed individuals near-non-infectious). Young women carried an age-graded elevated per-contact susceptibility (2.0× at ages 15–19 and 1.5× at 20–24).</w:t>
      </w:r>
    </w:p>
    <w:p>
      <w:r>
        <w:rPr>
          <w:i w:val="0"/>
        </w:rPr>
        <w:t>The care cascade comprised four states — undiagnosed, diagnosed (off ART), on ART (not suppressed), and virally suppressed — with transitions governed by HIV testing/diagnosis, linkage, viral suppression, and ART discontinuation rates. ART availability was introduced as a time-varying scale-up ramping from 0 (pre-2004) to full (2014), reproducing the South African roll-out. PrEP was modelled on the susceptible side as a per-act reduction in acquisition probability (95% efficacy), with stochastic initiation among eligible individuals and discontinuation. The PrEP discontinuation rate was set to reflect the documented poor continuation of oral PrEP among South African AGYW (≈6-month median retention), so that baseline PrEP coverage remained low (~3%) with rapid turnover rather than accumulating an unrealistically protected stock.</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scaled by an assumed causal fraction: rate ratio = 1 + (HR − 1) × causal fraction. We evaluated a full factorial grid of reach (10%, 30%, 50% of AGYW) × causal fraction (25% [conservative], 50% [central], 100% [optimistic]), plus a no-chatbot counterfactual baseline.</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1.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733,000 new HIV infections among AGYW nationally over 2025–2035 (median; interquartile range 696,000–762,000).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(Table 2).</w:t>
      </w:r>
    </w:p>
    <w:p>
      <w:r>
        <w:rPr>
          <w:i w:val="0"/>
        </w:rPr>
        <w:t xml:space="preserve">At 50% reach, the chatbot averted an estimated </w:t>
      </w:r>
      <w:r>
        <w:rPr>
          <w:b/>
          <w:i w:val="0"/>
        </w:rPr>
        <w:t>6.2% of AGYW infections (45,333; 95% CI 36,884–53,782; p &lt; 0.001)</w:t>
      </w:r>
      <w:r>
        <w:rPr>
          <w:i w:val="0"/>
        </w:rPr>
        <w:t xml:space="preserve"> under the central assumption and </w:t>
      </w:r>
      <w:r>
        <w:rPr>
          <w:b/>
          <w:i w:val="0"/>
        </w:rPr>
        <w:t>10.3% (75,191; 65,724–84,659; p &lt; 0.001)</w:t>
      </w:r>
      <w:r>
        <w:rPr>
          <w:i w:val="0"/>
        </w:rPr>
        <w:t xml:space="preserve"> under the optimistic assumption; even the conservative assumption averted a significant 4.9% (35,670; 27,050–44,290; p &lt; 0.001). At 30% reach the estimates were 3.3% / 4.3% / 6.3% (conservative / central / optimistic; all p &lt; 0.001), and at 10% reach 1.2–2.5%. Effects were statistically supported (95% CI excluding zero) in eight of the nine intervention scenarios — every scenario except the 10%-reach central scenario (0.9%; p = 0.11). With 96 replicates these intervals were tight (±9,500 at 50% reach, optimistic). Efficiency improved with increasing reach under the optimistic assumption, reflecting the dose–response of the intervention.</w:t>
      </w:r>
    </w:p>
    <w:p>
      <w:r>
        <w:rPr>
          <w:b/>
          <w:sz w:val="20"/>
        </w:rPr>
        <w:t>Table 2.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b/>
                <w:sz w:val="18"/>
              </w:rPr>
              <w:t>10%</w:t>
            </w:r>
          </w:p>
        </w:tc>
        <w:tc>
          <w:tcPr>
            <w:tcW w:type="dxa" w:w="1728"/>
          </w:tcPr>
          <w:p>
            <w:r/>
            <w:r>
              <w:rPr>
                <w:b/>
                <w:sz w:val="18"/>
              </w:rPr>
              <w:t>Conservative</w:t>
            </w:r>
          </w:p>
        </w:tc>
        <w:tc>
          <w:tcPr>
            <w:tcW w:type="dxa" w:w="2160"/>
          </w:tcPr>
          <w:p>
            <w:r/>
            <w:r>
              <w:rPr>
                <w:b/>
                <w:sz w:val="18"/>
              </w:rPr>
              <w:t>8,945</w:t>
            </w:r>
          </w:p>
        </w:tc>
        <w:tc>
          <w:tcPr>
            <w:tcW w:type="dxa" w:w="2160"/>
          </w:tcPr>
          <w:p>
            <w:r/>
            <w:r>
              <w:rPr>
                <w:b/>
                <w:sz w:val="18"/>
              </w:rPr>
              <w:t>602 – 17,287</w:t>
            </w:r>
          </w:p>
        </w:tc>
        <w:tc>
          <w:tcPr>
            <w:tcW w:type="dxa" w:w="864"/>
          </w:tcPr>
          <w:p>
            <w:r/>
            <w:r>
              <w:rPr>
                <w:b/>
                <w:sz w:val="18"/>
              </w:rPr>
              <w:t>0.036</w:t>
            </w:r>
          </w:p>
        </w:tc>
        <w:tc>
          <w:tcPr>
            <w:tcW w:type="dxa" w:w="1152"/>
          </w:tcPr>
          <w:p>
            <w:r/>
            <w:r>
              <w:rPr>
                <w:b/>
                <w:sz w:val="18"/>
              </w:rPr>
              <w:t>1.2%</w:t>
            </w:r>
          </w:p>
        </w:tc>
      </w:tr>
      <w:tr>
        <w:tc>
          <w:tcPr>
            <w:tcW w:type="dxa" w:w="864"/>
          </w:tcPr>
          <w:p>
            <w:r/>
            <w:r>
              <w:rPr>
                <w:sz w:val="18"/>
              </w:rPr>
              <w:t>10%</w:t>
            </w:r>
          </w:p>
        </w:tc>
        <w:tc>
          <w:tcPr>
            <w:tcW w:type="dxa" w:w="1728"/>
          </w:tcPr>
          <w:p>
            <w:r/>
            <w:r>
              <w:rPr>
                <w:sz w:val="18"/>
              </w:rPr>
              <w:t>Central</w:t>
            </w:r>
          </w:p>
        </w:tc>
        <w:tc>
          <w:tcPr>
            <w:tcW w:type="dxa" w:w="2160"/>
          </w:tcPr>
          <w:p>
            <w:r/>
            <w:r>
              <w:rPr>
                <w:sz w:val="18"/>
              </w:rPr>
              <w:t>6,641</w:t>
            </w:r>
          </w:p>
        </w:tc>
        <w:tc>
          <w:tcPr>
            <w:tcW w:type="dxa" w:w="2160"/>
          </w:tcPr>
          <w:p>
            <w:r/>
            <w:r>
              <w:rPr>
                <w:sz w:val="18"/>
              </w:rPr>
              <w:t>−1,559 – 14,840</w:t>
            </w:r>
          </w:p>
        </w:tc>
        <w:tc>
          <w:tcPr>
            <w:tcW w:type="dxa" w:w="864"/>
          </w:tcPr>
          <w:p>
            <w:r/>
            <w:r>
              <w:rPr>
                <w:sz w:val="18"/>
              </w:rPr>
              <w:t>0.111</w:t>
            </w:r>
          </w:p>
        </w:tc>
        <w:tc>
          <w:tcPr>
            <w:tcW w:type="dxa" w:w="1152"/>
          </w:tcPr>
          <w:p>
            <w:r/>
            <w:r>
              <w:rPr>
                <w:sz w:val="18"/>
              </w:rPr>
              <w:t>0.9%</w:t>
            </w:r>
          </w:p>
        </w:tc>
      </w:tr>
      <w:tr>
        <w:tc>
          <w:tcPr>
            <w:tcW w:type="dxa" w:w="864"/>
          </w:tcPr>
          <w:p>
            <w:r/>
            <w:r>
              <w:rPr>
                <w:b/>
                <w:sz w:val="18"/>
              </w:rPr>
              <w:t>10%</w:t>
            </w:r>
          </w:p>
        </w:tc>
        <w:tc>
          <w:tcPr>
            <w:tcW w:type="dxa" w:w="1728"/>
          </w:tcPr>
          <w:p>
            <w:r/>
            <w:r>
              <w:rPr>
                <w:b/>
                <w:sz w:val="18"/>
              </w:rPr>
              <w:t>Optimistic</w:t>
            </w:r>
          </w:p>
        </w:tc>
        <w:tc>
          <w:tcPr>
            <w:tcW w:type="dxa" w:w="2160"/>
          </w:tcPr>
          <w:p>
            <w:r/>
            <w:r>
              <w:rPr>
                <w:b/>
                <w:sz w:val="18"/>
              </w:rPr>
              <w:t>18,521</w:t>
            </w:r>
          </w:p>
        </w:tc>
        <w:tc>
          <w:tcPr>
            <w:tcW w:type="dxa" w:w="2160"/>
          </w:tcPr>
          <w:p>
            <w:r/>
            <w:r>
              <w:rPr>
                <w:b/>
                <w:sz w:val="18"/>
              </w:rPr>
              <w:t>8,529 – 28,513</w:t>
            </w:r>
          </w:p>
        </w:tc>
        <w:tc>
          <w:tcPr>
            <w:tcW w:type="dxa" w:w="864"/>
          </w:tcPr>
          <w:p>
            <w:r/>
            <w:r>
              <w:rPr>
                <w:b/>
                <w:sz w:val="18"/>
              </w:rPr>
              <w:t>&lt;0.001</w:t>
            </w:r>
          </w:p>
        </w:tc>
        <w:tc>
          <w:tcPr>
            <w:tcW w:type="dxa" w:w="1152"/>
          </w:tcPr>
          <w:p>
            <w:r/>
            <w:r>
              <w:rPr>
                <w:b/>
                <w:sz w:val="18"/>
              </w:rPr>
              <w:t>2.5%</w:t>
            </w:r>
          </w:p>
        </w:tc>
      </w:tr>
      <w:tr>
        <w:tc>
          <w:tcPr>
            <w:tcW w:type="dxa" w:w="864"/>
          </w:tcPr>
          <w:p>
            <w:r/>
            <w:r>
              <w:rPr>
                <w:b/>
                <w:sz w:val="18"/>
              </w:rPr>
              <w:t>30%</w:t>
            </w:r>
          </w:p>
        </w:tc>
        <w:tc>
          <w:tcPr>
            <w:tcW w:type="dxa" w:w="1728"/>
          </w:tcPr>
          <w:p>
            <w:r/>
            <w:r>
              <w:rPr>
                <w:b/>
                <w:sz w:val="18"/>
              </w:rPr>
              <w:t>Conservative</w:t>
            </w:r>
          </w:p>
        </w:tc>
        <w:tc>
          <w:tcPr>
            <w:tcW w:type="dxa" w:w="2160"/>
          </w:tcPr>
          <w:p>
            <w:r/>
            <w:r>
              <w:rPr>
                <w:b/>
                <w:sz w:val="18"/>
              </w:rPr>
              <w:t>23,871</w:t>
            </w:r>
          </w:p>
        </w:tc>
        <w:tc>
          <w:tcPr>
            <w:tcW w:type="dxa" w:w="2160"/>
          </w:tcPr>
          <w:p>
            <w:r/>
            <w:r>
              <w:rPr>
                <w:b/>
                <w:sz w:val="18"/>
              </w:rPr>
              <w:t>15,017 – 32,726</w:t>
            </w:r>
          </w:p>
        </w:tc>
        <w:tc>
          <w:tcPr>
            <w:tcW w:type="dxa" w:w="864"/>
          </w:tcPr>
          <w:p>
            <w:r/>
            <w:r>
              <w:rPr>
                <w:b/>
                <w:sz w:val="18"/>
              </w:rPr>
              <w:t>&lt;0.001</w:t>
            </w:r>
          </w:p>
        </w:tc>
        <w:tc>
          <w:tcPr>
            <w:tcW w:type="dxa" w:w="1152"/>
          </w:tcPr>
          <w:p>
            <w:r/>
            <w:r>
              <w:rPr>
                <w:b/>
                <w:sz w:val="18"/>
              </w:rPr>
              <w:t>3.3%</w:t>
            </w:r>
          </w:p>
        </w:tc>
      </w:tr>
      <w:tr>
        <w:tc>
          <w:tcPr>
            <w:tcW w:type="dxa" w:w="864"/>
          </w:tcPr>
          <w:p>
            <w:r/>
            <w:r>
              <w:rPr>
                <w:b/>
                <w:sz w:val="18"/>
              </w:rPr>
              <w:t>30%</w:t>
            </w:r>
          </w:p>
        </w:tc>
        <w:tc>
          <w:tcPr>
            <w:tcW w:type="dxa" w:w="1728"/>
          </w:tcPr>
          <w:p>
            <w:r/>
            <w:r>
              <w:rPr>
                <w:b/>
                <w:sz w:val="18"/>
              </w:rPr>
              <w:t>Central</w:t>
            </w:r>
          </w:p>
        </w:tc>
        <w:tc>
          <w:tcPr>
            <w:tcW w:type="dxa" w:w="2160"/>
          </w:tcPr>
          <w:p>
            <w:r/>
            <w:r>
              <w:rPr>
                <w:b/>
                <w:sz w:val="18"/>
              </w:rPr>
              <w:t>31,546</w:t>
            </w:r>
          </w:p>
        </w:tc>
        <w:tc>
          <w:tcPr>
            <w:tcW w:type="dxa" w:w="2160"/>
          </w:tcPr>
          <w:p>
            <w:r/>
            <w:r>
              <w:rPr>
                <w:b/>
                <w:sz w:val="18"/>
              </w:rPr>
              <w:t>23,023 – 40,069</w:t>
            </w:r>
          </w:p>
        </w:tc>
        <w:tc>
          <w:tcPr>
            <w:tcW w:type="dxa" w:w="864"/>
          </w:tcPr>
          <w:p>
            <w:r/>
            <w:r>
              <w:rPr>
                <w:b/>
                <w:sz w:val="18"/>
              </w:rPr>
              <w:t>&lt;0.001</w:t>
            </w:r>
          </w:p>
        </w:tc>
        <w:tc>
          <w:tcPr>
            <w:tcW w:type="dxa" w:w="1152"/>
          </w:tcPr>
          <w:p>
            <w:r/>
            <w:r>
              <w:rPr>
                <w:b/>
                <w:sz w:val="18"/>
              </w:rPr>
              <w:t>4.3%</w:t>
            </w:r>
          </w:p>
        </w:tc>
      </w:tr>
      <w:tr>
        <w:tc>
          <w:tcPr>
            <w:tcW w:type="dxa" w:w="864"/>
          </w:tcPr>
          <w:p>
            <w:r/>
            <w:r>
              <w:rPr>
                <w:b/>
                <w:sz w:val="18"/>
              </w:rPr>
              <w:t>30%</w:t>
            </w:r>
          </w:p>
        </w:tc>
        <w:tc>
          <w:tcPr>
            <w:tcW w:type="dxa" w:w="1728"/>
          </w:tcPr>
          <w:p>
            <w:r/>
            <w:r>
              <w:rPr>
                <w:b/>
                <w:sz w:val="18"/>
              </w:rPr>
              <w:t>Optimistic</w:t>
            </w:r>
          </w:p>
        </w:tc>
        <w:tc>
          <w:tcPr>
            <w:tcW w:type="dxa" w:w="2160"/>
          </w:tcPr>
          <w:p>
            <w:r/>
            <w:r>
              <w:rPr>
                <w:b/>
                <w:sz w:val="18"/>
              </w:rPr>
              <w:t>45,858</w:t>
            </w:r>
          </w:p>
        </w:tc>
        <w:tc>
          <w:tcPr>
            <w:tcW w:type="dxa" w:w="2160"/>
          </w:tcPr>
          <w:p>
            <w:r/>
            <w:r>
              <w:rPr>
                <w:b/>
                <w:sz w:val="18"/>
              </w:rPr>
              <w:t>38,529 – 53,188</w:t>
            </w:r>
          </w:p>
        </w:tc>
        <w:tc>
          <w:tcPr>
            <w:tcW w:type="dxa" w:w="864"/>
          </w:tcPr>
          <w:p>
            <w:r/>
            <w:r>
              <w:rPr>
                <w:b/>
                <w:sz w:val="18"/>
              </w:rPr>
              <w:t>&lt;0.001</w:t>
            </w:r>
          </w:p>
        </w:tc>
        <w:tc>
          <w:tcPr>
            <w:tcW w:type="dxa" w:w="1152"/>
          </w:tcPr>
          <w:p>
            <w:r/>
            <w:r>
              <w:rPr>
                <w:b/>
                <w:sz w:val="18"/>
              </w:rPr>
              <w:t>6.3%</w:t>
            </w:r>
          </w:p>
        </w:tc>
      </w:tr>
      <w:tr>
        <w:tc>
          <w:tcPr>
            <w:tcW w:type="dxa" w:w="864"/>
          </w:tcPr>
          <w:p>
            <w:r/>
            <w:r>
              <w:rPr>
                <w:b/>
                <w:sz w:val="18"/>
              </w:rPr>
              <w:t>50%</w:t>
            </w:r>
          </w:p>
        </w:tc>
        <w:tc>
          <w:tcPr>
            <w:tcW w:type="dxa" w:w="1728"/>
          </w:tcPr>
          <w:p>
            <w:r/>
            <w:r>
              <w:rPr>
                <w:b/>
                <w:sz w:val="18"/>
              </w:rPr>
              <w:t>Conservative</w:t>
            </w:r>
          </w:p>
        </w:tc>
        <w:tc>
          <w:tcPr>
            <w:tcW w:type="dxa" w:w="2160"/>
          </w:tcPr>
          <w:p>
            <w:r/>
            <w:r>
              <w:rPr>
                <w:b/>
                <w:sz w:val="18"/>
              </w:rPr>
              <w:t>35,670</w:t>
            </w:r>
          </w:p>
        </w:tc>
        <w:tc>
          <w:tcPr>
            <w:tcW w:type="dxa" w:w="2160"/>
          </w:tcPr>
          <w:p>
            <w:r/>
            <w:r>
              <w:rPr>
                <w:b/>
                <w:sz w:val="18"/>
              </w:rPr>
              <w:t>27,050 – 44,290</w:t>
            </w:r>
          </w:p>
        </w:tc>
        <w:tc>
          <w:tcPr>
            <w:tcW w:type="dxa" w:w="864"/>
          </w:tcPr>
          <w:p>
            <w:r/>
            <w:r>
              <w:rPr>
                <w:b/>
                <w:sz w:val="18"/>
              </w:rPr>
              <w:t>&lt;0.001</w:t>
            </w:r>
          </w:p>
        </w:tc>
        <w:tc>
          <w:tcPr>
            <w:tcW w:type="dxa" w:w="1152"/>
          </w:tcPr>
          <w:p>
            <w:r/>
            <w:r>
              <w:rPr>
                <w:b/>
                <w:sz w:val="18"/>
              </w:rPr>
              <w:t>4.9%</w:t>
            </w:r>
          </w:p>
        </w:tc>
      </w:tr>
      <w:tr>
        <w:tc>
          <w:tcPr>
            <w:tcW w:type="dxa" w:w="864"/>
          </w:tcPr>
          <w:p>
            <w:r/>
            <w:r>
              <w:rPr>
                <w:b/>
                <w:sz w:val="18"/>
              </w:rPr>
              <w:t>50%</w:t>
            </w:r>
          </w:p>
        </w:tc>
        <w:tc>
          <w:tcPr>
            <w:tcW w:type="dxa" w:w="1728"/>
          </w:tcPr>
          <w:p>
            <w:r/>
            <w:r>
              <w:rPr>
                <w:b/>
                <w:sz w:val="18"/>
              </w:rPr>
              <w:t>Central</w:t>
            </w:r>
          </w:p>
        </w:tc>
        <w:tc>
          <w:tcPr>
            <w:tcW w:type="dxa" w:w="2160"/>
          </w:tcPr>
          <w:p>
            <w:r/>
            <w:r>
              <w:rPr>
                <w:b/>
                <w:sz w:val="18"/>
              </w:rPr>
              <w:t>45,333</w:t>
            </w:r>
          </w:p>
        </w:tc>
        <w:tc>
          <w:tcPr>
            <w:tcW w:type="dxa" w:w="2160"/>
          </w:tcPr>
          <w:p>
            <w:r/>
            <w:r>
              <w:rPr>
                <w:b/>
                <w:sz w:val="18"/>
              </w:rPr>
              <w:t>36,884 – 53,782</w:t>
            </w:r>
          </w:p>
        </w:tc>
        <w:tc>
          <w:tcPr>
            <w:tcW w:type="dxa" w:w="864"/>
          </w:tcPr>
          <w:p>
            <w:r/>
            <w:r>
              <w:rPr>
                <w:b/>
                <w:sz w:val="18"/>
              </w:rPr>
              <w:t>&lt;0.001</w:t>
            </w:r>
          </w:p>
        </w:tc>
        <w:tc>
          <w:tcPr>
            <w:tcW w:type="dxa" w:w="1152"/>
          </w:tcPr>
          <w:p>
            <w:r/>
            <w:r>
              <w:rPr>
                <w:b/>
                <w:sz w:val="18"/>
              </w:rPr>
              <w:t>6.2%</w:t>
            </w:r>
          </w:p>
        </w:tc>
      </w:tr>
      <w:tr>
        <w:tc>
          <w:tcPr>
            <w:tcW w:type="dxa" w:w="864"/>
          </w:tcPr>
          <w:p>
            <w:r/>
            <w:r>
              <w:rPr>
                <w:b/>
                <w:sz w:val="18"/>
              </w:rPr>
              <w:t>50%</w:t>
            </w:r>
          </w:p>
        </w:tc>
        <w:tc>
          <w:tcPr>
            <w:tcW w:type="dxa" w:w="1728"/>
          </w:tcPr>
          <w:p>
            <w:r/>
            <w:r>
              <w:rPr>
                <w:b/>
                <w:sz w:val="18"/>
              </w:rPr>
              <w:t>Optimistic</w:t>
            </w:r>
          </w:p>
        </w:tc>
        <w:tc>
          <w:tcPr>
            <w:tcW w:type="dxa" w:w="2160"/>
          </w:tcPr>
          <w:p>
            <w:r/>
            <w:r>
              <w:rPr>
                <w:b/>
                <w:sz w:val="18"/>
              </w:rPr>
              <w:t>75,191</w:t>
            </w:r>
          </w:p>
        </w:tc>
        <w:tc>
          <w:tcPr>
            <w:tcW w:type="dxa" w:w="2160"/>
          </w:tcPr>
          <w:p>
            <w:r/>
            <w:r>
              <w:rPr>
                <w:b/>
                <w:sz w:val="18"/>
              </w:rPr>
              <w:t>65,724 – 84,659</w:t>
            </w:r>
          </w:p>
        </w:tc>
        <w:tc>
          <w:tcPr>
            <w:tcW w:type="dxa" w:w="864"/>
          </w:tcPr>
          <w:p>
            <w:r/>
            <w:r>
              <w:rPr>
                <w:b/>
                <w:sz w:val="18"/>
              </w:rPr>
              <w:t>&lt;0.001</w:t>
            </w:r>
          </w:p>
        </w:tc>
        <w:tc>
          <w:tcPr>
            <w:tcW w:type="dxa" w:w="1152"/>
          </w:tcPr>
          <w:p>
            <w:r/>
            <w:r>
              <w:rPr>
                <w:b/>
                <w:sz w:val="18"/>
              </w:rPr>
              <w:t>10.3%</w:t>
            </w:r>
          </w:p>
        </w:tc>
      </w:tr>
    </w:tbl>
    <w:p/>
    <w:p>
      <w:r>
        <w:rPr>
          <w:i/>
          <w:sz w:val="18"/>
        </w:rPr>
        <w:t>Baseline (no chatbot): ~732,899 national AGYW HIV infections 2025–2035 (median; mean 727,129; IQR 696,130–762,040). Bold rows: 95% CI excludes zero. Estimates are mean infections averted over 96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45,000–75,000 infections nationally over a decade. The effect was statistically supported in eight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and effect sizes. [Complete citation.]</w:t>
      </w:r>
    </w:p>
    <w:p>
      <w:pPr>
        <w:ind w:left="432" w:hanging="432"/>
      </w:pPr>
      <w:r>
        <w:rPr>
          <w:sz w:val="20"/>
        </w:rPr>
        <w:t>2. Jenness SM, Goodreau SM, Morris M. EpiModel: An R Package for Mathematical Modeling of Infectious Disease over Networks. J Stat Softw. 2018;84(8):1–47.</w:t>
      </w:r>
    </w:p>
    <w:p>
      <w:pPr>
        <w:ind w:left="432" w:hanging="432"/>
      </w:pPr>
      <w:r>
        <w:rPr>
          <w:sz w:val="20"/>
        </w:rPr>
        <w:t>3. Morris M, Kretzschmar M. Concurrent partnerships and the spread of HIV. AIDS. 1997;11(5):641–648.</w:t>
      </w:r>
    </w:p>
    <w:p>
      <w:pPr>
        <w:ind w:left="432" w:hanging="432"/>
      </w:pPr>
      <w:r>
        <w:rPr>
          <w:sz w:val="20"/>
        </w:rPr>
        <w:t>4. R Core Team. R: A Language and Environment for Statistical Computing. R Foundation for Statistical Computing; 2024.</w:t>
      </w:r>
    </w:p>
    <w:p>
      <w:pPr>
        <w:ind w:left="432" w:hanging="432"/>
      </w:pPr>
      <w:r>
        <w:rPr>
          <w:sz w:val="20"/>
        </w:rPr>
        <w:t>5. Handcock MS, Hunter DR, Butts CT, Goodreau SM, Morris M. statnet: Software tools for the representation, visualization, analysis and simulation of network data. J Stat Softw. 2008;24(1).</w:t>
      </w:r>
    </w:p>
    <w:p>
      <w:pPr>
        <w:ind w:left="432" w:hanging="432"/>
      </w:pPr>
      <w:r>
        <w:rPr>
          <w:sz w:val="20"/>
        </w:rPr>
        <w:t>6. Johnson LF, Dorrington RE. Thembisa version 5.0: A model for evaluating the impact of HIV/AIDS in South Africa. University of Cape Town; 2024. https://www.thembisa.org.</w:t>
      </w:r>
    </w:p>
    <w:p>
      <w:pPr>
        <w:ind w:left="432" w:hanging="432"/>
      </w:pPr>
      <w:r>
        <w:rPr>
          <w:sz w:val="20"/>
        </w:rPr>
        <w:t>7. Human Sciences Research Council. The Sixth South African National HIV Prevalence, Incidence, Behaviour and Communication Survey (SABSSM VI), 2022. HSRC; 2023.</w:t>
      </w:r>
    </w:p>
    <w:p>
      <w:pPr>
        <w:ind w:left="432" w:hanging="432"/>
      </w:pPr>
      <w:r>
        <w:rPr>
          <w:sz w:val="20"/>
        </w:rPr>
        <w:t>8. Maughan-Brown B, Kenyon C, Lurie MN. Partner age differences and concurrency in South Africa: Implications for HIV-infection risk among young women. AIDS Behav. 2014;18(12):2469–2476.</w:t>
      </w:r>
    </w:p>
    <w:p>
      <w:pPr>
        <w:ind w:left="432" w:hanging="432"/>
      </w:pPr>
      <w:r>
        <w:rPr>
          <w:sz w:val="20"/>
        </w:rPr>
        <w:t>9. [HPTN 068] Age-disparate partnerships and incident HIV infection in adolescent girls and young women in rural South Africa. AIDS. 2019;33(1).</w:t>
      </w:r>
    </w:p>
    <w:p>
      <w:pPr>
        <w:ind w:left="432" w:hanging="432"/>
      </w:pPr>
      <w:r>
        <w:rPr>
          <w:sz w:val="20"/>
        </w:rPr>
        <w:t>10. [EMOD-HIV western Kenya] Health and economic impact of oral PrEP provision across subgroups in western Kenya: a modelling analysis. 2025. [PubMed 39800385.]</w:t>
      </w:r>
    </w:p>
    <w:p>
      <w:pPr>
        <w:ind w:left="432" w:hanging="432"/>
      </w:pPr>
      <w:r>
        <w:rPr>
          <w:sz w:val="20"/>
        </w:rPr>
        <w:t>11. EpiModel PrEP intervention studies (initiation/adherence/persistence; percent infections averted). EpiModel/PrEP-Optimize and related publications.</w:t>
      </w:r>
    </w:p>
    <w:p>
      <w:pPr>
        <w:ind w:left="432" w:hanging="432"/>
      </w:pPr>
      <w:r>
        <w:rPr>
          <w:sz w:val="20"/>
        </w:rPr>
        <w:t>12. Noise-free comparison of stochastic agent-based simulations using common random numbers. 2024. arXiv:2409.02086.</w:t>
      </w:r>
    </w:p>
    <w:p>
      <w:pPr>
        <w:ind w:left="432" w:hanging="432"/>
      </w:pPr>
      <w:r>
        <w:rPr>
          <w:sz w:val="20"/>
        </w:rPr>
        <w:t>13. [PrEP efficacy] — relevant oral TDF/FTC or injectable cabotegravir/lenacapavir trial for the per-act efficacy assumption. [Complete citation.]</w:t>
      </w:r>
    </w:p>
    <w:p>
      <w:pPr>
        <w:ind w:left="432" w:hanging="432"/>
      </w:pPr>
      <w:r>
        <w:rPr>
          <w:sz w:val="20"/>
        </w:rPr>
        <w:t>14. [ART treatment-as-prevention] HPTN 052 or equivalent for the near-zero infectiousness of virally suppressed individuals. [Complete citation.]</w:t>
      </w:r>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t>Parameter</w:t>
            </w:r>
          </w:p>
        </w:tc>
        <w:tc>
          <w:tcPr>
            <w:tcW w:type="dxa" w:w="2160"/>
          </w:tcPr>
          <w:p>
            <w:r/>
            <w:r>
              <w:rPr>
                <w:b/>
                <w:sz w:val="18"/>
              </w:rPr>
              <w:t>Value</w:t>
            </w:r>
          </w:p>
        </w:tc>
        <w:tc>
          <w:tcPr>
            <w:tcW w:type="dxa" w:w="3600"/>
          </w:tcPr>
          <w:p>
            <w:r/>
            <w:r>
              <w:rPr>
                <w:b/>
                <w:sz w:val="18"/>
              </w:rPr>
              <w:t>Source / note</w:t>
            </w:r>
          </w:p>
        </w:tc>
      </w:tr>
      <w:tr>
        <w:tc>
          <w:tcPr>
            <w:tcW w:type="dxa" w:w="3744"/>
          </w:tcPr>
          <w:p>
            <w:r/>
            <w:r>
              <w:rPr>
                <w:sz w:val="18"/>
              </w:rPr>
              <w:t>Per-act transmission probability</w:t>
            </w:r>
          </w:p>
        </w:tc>
        <w:tc>
          <w:tcPr>
            <w:tcW w:type="dxa" w:w="2160"/>
          </w:tcPr>
          <w:p>
            <w:r/>
            <w:r>
              <w:rPr>
                <w:sz w:val="18"/>
              </w:rPr>
              <w:t>0.0035</w:t>
            </w:r>
          </w:p>
        </w:tc>
        <w:tc>
          <w:tcPr>
            <w:tcW w:type="dxa" w:w="3600"/>
          </w:tcPr>
          <w:p>
            <w:r/>
            <w:r>
              <w:rPr>
                <w:sz w:val="18"/>
              </w:rPr>
              <w:t>Calibrated to SA trajectory</w:t>
            </w:r>
          </w:p>
        </w:tc>
      </w:tr>
      <w:tr>
        <w:tc>
          <w:tcPr>
            <w:tcW w:type="dxa" w:w="3744"/>
          </w:tcPr>
          <w:p>
            <w:r/>
            <w:r>
              <w:rPr>
                <w:sz w:val="18"/>
              </w:rPr>
              <w:t>Sex acts per week, main / casual</w:t>
            </w:r>
          </w:p>
        </w:tc>
        <w:tc>
          <w:tcPr>
            <w:tcW w:type="dxa" w:w="2160"/>
          </w:tcPr>
          <w:p>
            <w:r/>
            <w:r>
              <w:rPr>
                <w:sz w:val="18"/>
              </w:rPr>
              <w:t>5 / 2</w:t>
            </w:r>
          </w:p>
        </w:tc>
        <w:tc>
          <w:tcPr>
            <w:tcW w:type="dxa" w:w="3600"/>
          </w:tcPr>
          <w:p>
            <w:r/>
            <w:r>
              <w:rPr>
                <w:sz w:val="18"/>
              </w:rPr>
              <w:t>Calibrated (plausible range)</w:t>
            </w:r>
          </w:p>
        </w:tc>
      </w:tr>
      <w:tr>
        <w:tc>
          <w:tcPr>
            <w:tcW w:type="dxa" w:w="3744"/>
          </w:tcPr>
          <w:p>
            <w:r/>
            <w:r>
              <w:rPr>
                <w:sz w:val="18"/>
              </w:rPr>
              <w:t>Relative infectiousness, acute / AIDS</w:t>
            </w:r>
          </w:p>
        </w:tc>
        <w:tc>
          <w:tcPr>
            <w:tcW w:type="dxa" w:w="2160"/>
          </w:tcPr>
          <w:p>
            <w:r/>
            <w:r>
              <w:rPr>
                <w:sz w:val="18"/>
              </w:rPr>
              <w:t>5× / 2×</w:t>
            </w:r>
          </w:p>
        </w:tc>
        <w:tc>
          <w:tcPr>
            <w:tcW w:type="dxa" w:w="3600"/>
          </w:tcPr>
          <w:p>
            <w:r/>
            <w:r>
              <w:rPr>
                <w:sz w:val="18"/>
              </w:rPr>
              <w:t>Literature</w:t>
            </w:r>
          </w:p>
        </w:tc>
      </w:tr>
      <w:tr>
        <w:tc>
          <w:tcPr>
            <w:tcW w:type="dxa" w:w="3744"/>
          </w:tcPr>
          <w:p>
            <w:r/>
            <w:r>
              <w:rPr>
                <w:sz w:val="18"/>
              </w:rPr>
              <w:t>Rel. infectiousness on ART, unsupp. / supp.</w:t>
            </w:r>
          </w:p>
        </w:tc>
        <w:tc>
          <w:tcPr>
            <w:tcW w:type="dxa" w:w="2160"/>
          </w:tcPr>
          <w:p>
            <w:r/>
            <w:r>
              <w:rPr>
                <w:sz w:val="18"/>
              </w:rPr>
              <w:t>0.30 / 0.01</w:t>
            </w:r>
          </w:p>
        </w:tc>
        <w:tc>
          <w:tcPr>
            <w:tcW w:type="dxa" w:w="3600"/>
          </w:tcPr>
          <w:p>
            <w:r/>
            <w:r>
              <w:rPr>
                <w:sz w:val="18"/>
              </w:rPr>
              <w:t>Literature (TasP)</w:t>
            </w:r>
          </w:p>
        </w:tc>
      </w:tr>
      <w:tr>
        <w:tc>
          <w:tcPr>
            <w:tcW w:type="dxa" w:w="3744"/>
          </w:tcPr>
          <w:p>
            <w:r/>
            <w:r>
              <w:rPr>
                <w:sz w:val="18"/>
              </w:rPr>
              <w:t>AGYW susceptibility, 15–19 / 20–24</w:t>
            </w:r>
          </w:p>
        </w:tc>
        <w:tc>
          <w:tcPr>
            <w:tcW w:type="dxa" w:w="2160"/>
          </w:tcPr>
          <w:p>
            <w:r/>
            <w:r>
              <w:rPr>
                <w:sz w:val="18"/>
              </w:rPr>
              <w:t>2.0 / 1.5</w:t>
            </w:r>
          </w:p>
        </w:tc>
        <w:tc>
          <w:tcPr>
            <w:tcW w:type="dxa" w:w="3600"/>
          </w:tcPr>
          <w:p>
            <w:r/>
            <w:r>
              <w:rPr>
                <w:sz w:val="18"/>
              </w:rPr>
              <w:t>Literature</w:t>
            </w:r>
          </w:p>
        </w:tc>
      </w:tr>
      <w:tr>
        <w:tc>
          <w:tcPr>
            <w:tcW w:type="dxa" w:w="3744"/>
          </w:tcPr>
          <w:p>
            <w:r/>
            <w:r>
              <w:rPr>
                <w:sz w:val="18"/>
              </w:rPr>
              <w:t>PrEP efficacy (per-act)</w:t>
            </w:r>
          </w:p>
        </w:tc>
        <w:tc>
          <w:tcPr>
            <w:tcW w:type="dxa" w:w="2160"/>
          </w:tcPr>
          <w:p>
            <w:r/>
            <w:r>
              <w:rPr>
                <w:sz w:val="18"/>
              </w:rPr>
              <w:t>0.95</w:t>
            </w:r>
          </w:p>
        </w:tc>
        <w:tc>
          <w:tcPr>
            <w:tcW w:type="dxa" w:w="3600"/>
          </w:tcPr>
          <w:p>
            <w:r/>
            <w:r>
              <w:rPr>
                <w:sz w:val="18"/>
              </w:rPr>
              <w:t>Literature</w:t>
            </w:r>
          </w:p>
        </w:tc>
      </w:tr>
      <w:tr>
        <w:tc>
          <w:tcPr>
            <w:tcW w:type="dxa" w:w="3744"/>
          </w:tcPr>
          <w:p>
            <w:r/>
            <w:r>
              <w:rPr>
                <w:sz w:val="18"/>
              </w:rPr>
              <w:t>Mean degree, main / casual</w:t>
            </w:r>
          </w:p>
        </w:tc>
        <w:tc>
          <w:tcPr>
            <w:tcW w:type="dxa" w:w="2160"/>
          </w:tcPr>
          <w:p>
            <w:r/>
            <w:r>
              <w:rPr>
                <w:sz w:val="18"/>
              </w:rPr>
              <w:t>0.50 / 0.35</w:t>
            </w:r>
          </w:p>
        </w:tc>
        <w:tc>
          <w:tcPr>
            <w:tcW w:type="dxa" w:w="3600"/>
          </w:tcPr>
          <w:p>
            <w:r/>
            <w:r>
              <w:rPr>
                <w:sz w:val="18"/>
              </w:rPr>
              <w:t>Aimee cohort (≈1.71 past-year partners)</w:t>
            </w:r>
          </w:p>
        </w:tc>
      </w:tr>
      <w:tr>
        <w:tc>
          <w:tcPr>
            <w:tcW w:type="dxa" w:w="3744"/>
          </w:tcPr>
          <w:p>
            <w:r/>
            <w:r>
              <w:rPr>
                <w:sz w:val="18"/>
              </w:rPr>
              <w:t>Concurrency, main / casual</w:t>
            </w:r>
          </w:p>
        </w:tc>
        <w:tc>
          <w:tcPr>
            <w:tcW w:type="dxa" w:w="2160"/>
          </w:tcPr>
          <w:p>
            <w:r/>
            <w:r>
              <w:rPr>
                <w:sz w:val="18"/>
              </w:rPr>
              <w:t>4% / 10%</w:t>
            </w:r>
          </w:p>
        </w:tc>
        <w:tc>
          <w:tcPr>
            <w:tcW w:type="dxa" w:w="3600"/>
          </w:tcPr>
          <w:p>
            <w:r/>
            <w:r>
              <w:rPr>
                <w:sz w:val="18"/>
              </w:rPr>
              <w:t>Bounded by mean degree</w:t>
            </w:r>
          </w:p>
        </w:tc>
      </w:tr>
      <w:tr>
        <w:tc>
          <w:tcPr>
            <w:tcW w:type="dxa" w:w="3744"/>
          </w:tcPr>
          <w:p>
            <w:r/>
            <w:r>
              <w:rPr>
                <w:sz w:val="18"/>
              </w:rPr>
              <w:t>Age-mixing breadth, main / casual</w:t>
            </w:r>
          </w:p>
        </w:tc>
        <w:tc>
          <w:tcPr>
            <w:tcW w:type="dxa" w:w="2160"/>
          </w:tcPr>
          <w:p>
            <w:r/>
            <w:r>
              <w:rPr>
                <w:sz w:val="18"/>
              </w:rPr>
              <w:t>8 / 9</w:t>
            </w:r>
          </w:p>
        </w:tc>
        <w:tc>
          <w:tcPr>
            <w:tcW w:type="dxa" w:w="3600"/>
          </w:tcPr>
          <w:p>
            <w:r/>
            <w:r>
              <w:rPr>
                <w:sz w:val="18"/>
              </w:rPr>
              <w:t>AGYW partner gap ≈7.7y; 34% men ≥30</w:t>
            </w:r>
          </w:p>
        </w:tc>
      </w:tr>
      <w:tr>
        <w:tc>
          <w:tcPr>
            <w:tcW w:type="dxa" w:w="3744"/>
          </w:tcPr>
          <w:p>
            <w:r/>
            <w:r>
              <w:rPr>
                <w:sz w:val="18"/>
              </w:rPr>
              <w:t>Preferred partner age gap (AGYW)</w:t>
            </w:r>
          </w:p>
        </w:tc>
        <w:tc>
          <w:tcPr>
            <w:tcW w:type="dxa" w:w="2160"/>
          </w:tcPr>
          <w:p>
            <w:r/>
            <w:r>
              <w:rPr>
                <w:sz w:val="18"/>
              </w:rPr>
              <w:t>5 years</w:t>
            </w:r>
          </w:p>
        </w:tc>
        <w:tc>
          <w:tcPr>
            <w:tcW w:type="dxa" w:w="3600"/>
          </w:tcPr>
          <w:p>
            <w:r/>
            <w:r>
              <w:rPr>
                <w:sz w:val="18"/>
              </w:rPr>
              <w:t>SA age-disparate literature</w:t>
            </w:r>
          </w:p>
        </w:tc>
      </w:tr>
      <w:tr>
        <w:tc>
          <w:tcPr>
            <w:tcW w:type="dxa" w:w="3744"/>
          </w:tcPr>
          <w:p>
            <w:r/>
            <w:r>
              <w:rPr>
                <w:sz w:val="18"/>
              </w:rPr>
              <w:t>Partnership duration, main / casual</w:t>
            </w:r>
          </w:p>
        </w:tc>
        <w:tc>
          <w:tcPr>
            <w:tcW w:type="dxa" w:w="2160"/>
          </w:tcPr>
          <w:p>
            <w:r/>
            <w:r>
              <w:rPr>
                <w:sz w:val="18"/>
              </w:rPr>
              <w:t>200 / 26 weeks</w:t>
            </w:r>
          </w:p>
        </w:tc>
        <w:tc>
          <w:tcPr>
            <w:tcW w:type="dxa" w:w="3600"/>
          </w:tcPr>
          <w:p>
            <w:r/>
            <w:r>
              <w:rPr>
                <w:sz w:val="18"/>
              </w:rPr>
              <w:t>Literature</w:t>
            </w:r>
          </w:p>
        </w:tc>
      </w:tr>
      <w:tr>
        <w:tc>
          <w:tcPr>
            <w:tcW w:type="dxa" w:w="3744"/>
          </w:tcPr>
          <w:p>
            <w:r/>
            <w:r>
              <w:rPr>
                <w:sz w:val="18"/>
              </w:rPr>
              <w:t>HIV testing/diagnosis rate</w:t>
            </w:r>
          </w:p>
        </w:tc>
        <w:tc>
          <w:tcPr>
            <w:tcW w:type="dxa" w:w="2160"/>
          </w:tcPr>
          <w:p>
            <w:r/>
            <w:r>
              <w:rPr>
                <w:sz w:val="18"/>
              </w:rPr>
              <w:t>0.01 / week</w:t>
            </w:r>
          </w:p>
        </w:tc>
        <w:tc>
          <w:tcPr>
            <w:tcW w:type="dxa" w:w="3600"/>
          </w:tcPr>
          <w:p>
            <w:r/>
            <w:r>
              <w:rPr>
                <w:sz w:val="18"/>
              </w:rPr>
              <w:t>Calibrated/literature</w:t>
            </w:r>
          </w:p>
        </w:tc>
      </w:tr>
      <w:tr>
        <w:tc>
          <w:tcPr>
            <w:tcW w:type="dxa" w:w="3744"/>
          </w:tcPr>
          <w:p>
            <w:r/>
            <w:r>
              <w:rPr>
                <w:sz w:val="18"/>
              </w:rPr>
              <w:t>Linkage to ART</w:t>
            </w:r>
          </w:p>
        </w:tc>
        <w:tc>
          <w:tcPr>
            <w:tcW w:type="dxa" w:w="2160"/>
          </w:tcPr>
          <w:p>
            <w:r/>
            <w:r>
              <w:rPr>
                <w:sz w:val="18"/>
              </w:rPr>
              <w:t>0.50 / week</w:t>
            </w:r>
          </w:p>
        </w:tc>
        <w:tc>
          <w:tcPr>
            <w:tcW w:type="dxa" w:w="3600"/>
          </w:tcPr>
          <w:p>
            <w:r/>
            <w:r>
              <w:rPr>
                <w:sz w:val="18"/>
              </w:rPr>
              <w:t>Cascade</w:t>
            </w:r>
          </w:p>
        </w:tc>
      </w:tr>
      <w:tr>
        <w:tc>
          <w:tcPr>
            <w:tcW w:type="dxa" w:w="3744"/>
          </w:tcPr>
          <w:p>
            <w:r/>
            <w:r>
              <w:rPr>
                <w:sz w:val="18"/>
              </w:rPr>
              <w:t>Viral suppression</w:t>
            </w:r>
          </w:p>
        </w:tc>
        <w:tc>
          <w:tcPr>
            <w:tcW w:type="dxa" w:w="2160"/>
          </w:tcPr>
          <w:p>
            <w:r/>
            <w:r>
              <w:rPr>
                <w:sz w:val="18"/>
              </w:rPr>
              <w:t>0.30 / week</w:t>
            </w:r>
          </w:p>
        </w:tc>
        <w:tc>
          <w:tcPr>
            <w:tcW w:type="dxa" w:w="3600"/>
          </w:tcPr>
          <w:p>
            <w:r/>
            <w:r>
              <w:rPr>
                <w:sz w:val="18"/>
              </w:rPr>
              <w:t>Cascade</w:t>
            </w:r>
          </w:p>
        </w:tc>
      </w:tr>
      <w:tr>
        <w:tc>
          <w:tcPr>
            <w:tcW w:type="dxa" w:w="3744"/>
          </w:tcPr>
          <w:p>
            <w:r/>
            <w:r>
              <w:rPr>
                <w:sz w:val="18"/>
              </w:rPr>
              <w:t>ART discontinuation</w:t>
            </w:r>
          </w:p>
        </w:tc>
        <w:tc>
          <w:tcPr>
            <w:tcW w:type="dxa" w:w="2160"/>
          </w:tcPr>
          <w:p>
            <w:r/>
            <w:r>
              <w:rPr>
                <w:sz w:val="18"/>
              </w:rPr>
              <w:t>0.01 / week</w:t>
            </w:r>
          </w:p>
        </w:tc>
        <w:tc>
          <w:tcPr>
            <w:tcW w:type="dxa" w:w="3600"/>
          </w:tcPr>
          <w:p>
            <w:r/>
            <w:r>
              <w:rPr>
                <w:sz w:val="18"/>
              </w:rPr>
              <w:t>Cascade</w:t>
            </w:r>
          </w:p>
        </w:tc>
      </w:tr>
      <w:tr>
        <w:tc>
          <w:tcPr>
            <w:tcW w:type="dxa" w:w="3744"/>
          </w:tcPr>
          <w:p>
            <w:r/>
            <w:r>
              <w:rPr>
                <w:sz w:val="18"/>
              </w:rPr>
              <w:t>ART scale-up window</w:t>
            </w:r>
          </w:p>
        </w:tc>
        <w:tc>
          <w:tcPr>
            <w:tcW w:type="dxa" w:w="2160"/>
          </w:tcPr>
          <w:p>
            <w:r/>
            <w:r>
              <w:rPr>
                <w:sz w:val="18"/>
              </w:rPr>
              <w:t>ramp 2004 → 2014</w:t>
            </w:r>
          </w:p>
        </w:tc>
        <w:tc>
          <w:tcPr>
            <w:tcW w:type="dxa" w:w="3600"/>
          </w:tcPr>
          <w:p>
            <w:r/>
            <w:r>
              <w:rPr>
                <w:sz w:val="18"/>
              </w:rPr>
              <w:t>SA roll-out</w:t>
            </w:r>
          </w:p>
        </w:tc>
      </w:tr>
      <w:tr>
        <w:tc>
          <w:tcPr>
            <w:tcW w:type="dxa" w:w="3744"/>
          </w:tcPr>
          <w:p>
            <w:r/>
            <w:r>
              <w:rPr>
                <w:sz w:val="18"/>
              </w:rPr>
              <w:t>PrEP initiation rate</w:t>
            </w:r>
          </w:p>
        </w:tc>
        <w:tc>
          <w:tcPr>
            <w:tcW w:type="dxa" w:w="2160"/>
          </w:tcPr>
          <w:p>
            <w:r/>
            <w:r>
              <w:rPr>
                <w:sz w:val="18"/>
              </w:rPr>
              <w:t>0.005 / week</w:t>
            </w:r>
          </w:p>
        </w:tc>
        <w:tc>
          <w:tcPr>
            <w:tcW w:type="dxa" w:w="3600"/>
          </w:tcPr>
          <w:p>
            <w:r/>
            <w:r>
              <w:rPr>
                <w:sz w:val="18"/>
              </w:rPr>
              <w:t>Literature</w:t>
            </w:r>
          </w:p>
        </w:tc>
      </w:tr>
      <w:tr>
        <w:tc>
          <w:tcPr>
            <w:tcW w:type="dxa" w:w="3744"/>
          </w:tcPr>
          <w:p>
            <w:r/>
            <w:r>
              <w:rPr>
                <w:sz w:val="18"/>
              </w:rPr>
              <w:t>PrEP discontinuation rate</w:t>
            </w:r>
          </w:p>
        </w:tc>
        <w:tc>
          <w:tcPr>
            <w:tcW w:type="dxa" w:w="2160"/>
          </w:tcPr>
          <w:p>
            <w:r/>
            <w:r>
              <w:rPr>
                <w:sz w:val="18"/>
              </w:rPr>
              <w:t>0.027 / week</w:t>
            </w:r>
          </w:p>
        </w:tc>
        <w:tc>
          <w:tcPr>
            <w:tcW w:type="dxa" w:w="3600"/>
          </w:tcPr>
          <w:p>
            <w:r/>
            <w:r>
              <w:rPr>
                <w:sz w:val="18"/>
              </w:rPr>
              <w:t>≈6-mo median retention (SA oral PrEP)</w:t>
            </w:r>
          </w:p>
        </w:tc>
      </w:tr>
      <w:tr>
        <w:tc>
          <w:tcPr>
            <w:tcW w:type="dxa" w:w="3744"/>
          </w:tcPr>
          <w:p>
            <w:r/>
            <w:r>
              <w:rPr>
                <w:sz w:val="18"/>
              </w:rPr>
              <w:t>HIV seed year / prevalence</w:t>
            </w:r>
          </w:p>
        </w:tc>
        <w:tc>
          <w:tcPr>
            <w:tcW w:type="dxa" w:w="2160"/>
          </w:tcPr>
          <w:p>
            <w:r/>
            <w:r>
              <w:rPr>
                <w:sz w:val="18"/>
              </w:rPr>
              <w:t>1990 / 0.8%</w:t>
            </w:r>
          </w:p>
        </w:tc>
        <w:tc>
          <w:tcPr>
            <w:tcW w:type="dxa" w:w="3600"/>
          </w:tcPr>
          <w:p>
            <w:r/>
            <w:r>
              <w:rPr>
                <w:sz w:val="18"/>
              </w:rPr>
              <w:t>Calibration setup</w:t>
            </w:r>
          </w:p>
        </w:tc>
      </w:tr>
      <w:tr>
        <w:tc>
          <w:tcPr>
            <w:tcW w:type="dxa" w:w="3744"/>
          </w:tcPr>
          <w:p>
            <w:r/>
            <w:r>
              <w:rPr>
                <w:sz w:val="18"/>
              </w:rPr>
              <w:t>Demographic burn-in</w:t>
            </w:r>
          </w:p>
        </w:tc>
        <w:tc>
          <w:tcPr>
            <w:tcW w:type="dxa" w:w="2160"/>
          </w:tcPr>
          <w:p>
            <w:r/>
            <w:r>
              <w:rPr>
                <w:sz w:val="18"/>
              </w:rPr>
              <w:t>1965–1990 (HIV-free)</w:t>
            </w:r>
          </w:p>
        </w:tc>
        <w:tc>
          <w:tcPr>
            <w:tcW w:type="dxa" w:w="3600"/>
          </w:tcPr>
          <w:p>
            <w:r/>
            <w:r>
              <w:rPr>
                <w:sz w:val="18"/>
              </w:rPr>
              <w:t>Calibration setup</w:t>
            </w:r>
          </w:p>
        </w:tc>
      </w:tr>
      <w:tr>
        <w:tc>
          <w:tcPr>
            <w:tcW w:type="dxa" w:w="3744"/>
          </w:tcPr>
          <w:p>
            <w:r/>
            <w:r>
              <w:rPr>
                <w:sz w:val="18"/>
              </w:rPr>
              <w:t>National AGYW population (scaling)</w:t>
            </w:r>
          </w:p>
        </w:tc>
        <w:tc>
          <w:tcPr>
            <w:tcW w:type="dxa" w:w="2160"/>
          </w:tcPr>
          <w:p>
            <w:r/>
            <w:r>
              <w:rPr>
                <w:sz w:val="18"/>
              </w:rPr>
              <w:t>5,071,746</w:t>
            </w:r>
          </w:p>
        </w:tc>
        <w:tc>
          <w:tcPr>
            <w:tcW w:type="dxa" w:w="3600"/>
          </w:tcPr>
          <w:p>
            <w:r/>
            <w:r>
              <w:rPr>
                <w:sz w:val="18"/>
              </w:rPr>
              <w:t>Thembisa 2022</w:t>
            </w:r>
          </w:p>
        </w:tc>
      </w:tr>
      <w:tr>
        <w:tc>
          <w:tcPr>
            <w:tcW w:type="dxa" w:w="3744"/>
          </w:tcPr>
          <w:p>
            <w:r/>
            <w:r>
              <w:rPr>
                <w:sz w:val="18"/>
              </w:rPr>
              <w:t>Replicates / population size</w:t>
            </w:r>
          </w:p>
        </w:tc>
        <w:tc>
          <w:tcPr>
            <w:tcW w:type="dxa" w:w="2160"/>
          </w:tcPr>
          <w:p>
            <w:r/>
            <w:r>
              <w:rPr>
                <w:sz w:val="18"/>
              </w:rPr>
              <w:t>96 / 20,000</w:t>
            </w:r>
          </w:p>
        </w:tc>
        <w:tc>
          <w:tcPr>
            <w:tcW w:type="dxa" w:w="3600"/>
          </w:tcPr>
          <w:p>
            <w:r/>
            <w:r>
              <w:rPr>
                <w:sz w:val="18"/>
              </w:rPr>
              <w:t>Simulation design</w:t>
            </w:r>
          </w:p>
        </w:tc>
      </w:tr>
    </w:tbl>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