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0378D" w14:textId="19FEDF04" w:rsidR="001630DB" w:rsidRDefault="001630DB" w:rsidP="00034090">
      <w:pPr>
        <w:spacing w:line="36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PMS Analysis of Resting-State OCD Data</w:t>
      </w:r>
    </w:p>
    <w:p w14:paraId="467E5B8A" w14:textId="587B216F" w:rsidR="00E85A43" w:rsidRDefault="00357E83" w:rsidP="00034090">
      <w:pPr>
        <w:spacing w:line="36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Status</w:t>
      </w:r>
      <w:r w:rsidR="001630DB">
        <w:rPr>
          <w:rFonts w:asciiTheme="majorHAnsi" w:hAnsiTheme="majorHAnsi" w:cstheme="majorHAnsi"/>
          <w:sz w:val="32"/>
          <w:szCs w:val="32"/>
          <w:lang w:val="en-US"/>
        </w:rPr>
        <w:t xml:space="preserve"> Report</w:t>
      </w:r>
      <w:r w:rsidR="00034090">
        <w:rPr>
          <w:rFonts w:asciiTheme="majorHAnsi" w:hAnsiTheme="majorHAnsi" w:cstheme="majorHAnsi"/>
          <w:sz w:val="32"/>
          <w:szCs w:val="32"/>
          <w:lang w:val="en-US"/>
        </w:rPr>
        <w:t>, July 29, 2019</w:t>
      </w:r>
    </w:p>
    <w:p w14:paraId="583D355A" w14:textId="117EED8A" w:rsidR="002D30E9" w:rsidRPr="002D30E9" w:rsidRDefault="00B1027B" w:rsidP="002C7410">
      <w:pPr>
        <w:spacing w:line="360" w:lineRule="auto"/>
        <w:rPr>
          <w:rFonts w:cstheme="minorHAnsi"/>
          <w:b/>
          <w:bCs/>
          <w:sz w:val="26"/>
          <w:szCs w:val="26"/>
          <w:lang w:val="en-US"/>
        </w:rPr>
      </w:pPr>
      <w:r w:rsidRPr="002D30E9">
        <w:rPr>
          <w:rFonts w:cstheme="minorHAnsi"/>
          <w:b/>
          <w:bCs/>
          <w:sz w:val="26"/>
          <w:szCs w:val="26"/>
          <w:lang w:val="en-US"/>
        </w:rPr>
        <w:t>Introduction</w:t>
      </w:r>
    </w:p>
    <w:p w14:paraId="32CBBD2A" w14:textId="01224CEE" w:rsidR="002D30E9" w:rsidRDefault="002D30E9" w:rsidP="00034090">
      <w:pPr>
        <w:spacing w:line="360" w:lineRule="auto"/>
        <w:rPr>
          <w:rFonts w:cstheme="minorHAnsi"/>
          <w:lang w:val="en-US"/>
        </w:rPr>
      </w:pPr>
    </w:p>
    <w:p w14:paraId="1BEE022E" w14:textId="77777777" w:rsidR="00EE1D85" w:rsidRPr="002D30E9" w:rsidRDefault="00EE1D85" w:rsidP="00034090">
      <w:pPr>
        <w:spacing w:line="360" w:lineRule="auto"/>
        <w:rPr>
          <w:rFonts w:cstheme="minorHAnsi"/>
          <w:lang w:val="en-US"/>
        </w:rPr>
      </w:pPr>
    </w:p>
    <w:p w14:paraId="6318ACBD" w14:textId="7949E707" w:rsidR="002D30E9" w:rsidRPr="002D30E9" w:rsidRDefault="002D30E9" w:rsidP="00034090">
      <w:pPr>
        <w:spacing w:line="360" w:lineRule="auto"/>
        <w:rPr>
          <w:rFonts w:cstheme="minorHAnsi"/>
          <w:b/>
          <w:bCs/>
          <w:lang w:val="en-US"/>
        </w:rPr>
      </w:pPr>
      <w:r w:rsidRPr="002D30E9">
        <w:rPr>
          <w:rFonts w:cstheme="minorHAnsi"/>
          <w:b/>
          <w:bCs/>
          <w:lang w:val="en-US"/>
        </w:rPr>
        <w:t>Overview</w:t>
      </w:r>
    </w:p>
    <w:p w14:paraId="4B590E35" w14:textId="3F34AE8A" w:rsidR="00B1027B" w:rsidRDefault="001630DB" w:rsidP="00034090">
      <w:pPr>
        <w:spacing w:line="360" w:lineRule="auto"/>
        <w:rPr>
          <w:rFonts w:cstheme="minorHAnsi"/>
          <w:lang w:val="en-US"/>
        </w:rPr>
      </w:pPr>
      <w:r>
        <w:rPr>
          <w:rFonts w:cstheme="minorHAnsi"/>
          <w:lang w:val="en-US"/>
        </w:rPr>
        <w:tab/>
        <w:t>The methodology of the PMS space</w:t>
      </w:r>
      <w:r w:rsidR="00A0445A">
        <w:rPr>
          <w:rFonts w:cstheme="minorHAnsi"/>
          <w:lang w:val="en-US"/>
        </w:rPr>
        <w:t xml:space="preserve"> analysis</w:t>
      </w:r>
      <w:r>
        <w:rPr>
          <w:rFonts w:cstheme="minorHAnsi"/>
          <w:lang w:val="en-US"/>
        </w:rPr>
        <w:t xml:space="preserve"> may be broken into three </w:t>
      </w:r>
      <w:r w:rsidR="00EA754B">
        <w:rPr>
          <w:rFonts w:cstheme="minorHAnsi"/>
          <w:lang w:val="en-US"/>
        </w:rPr>
        <w:t>main segments: characterization, fitting, and simulation.</w:t>
      </w:r>
    </w:p>
    <w:p w14:paraId="64DDABD3" w14:textId="77777777" w:rsidR="00A0445A" w:rsidRDefault="002A0535" w:rsidP="00034090">
      <w:pPr>
        <w:spacing w:line="360" w:lineRule="auto"/>
        <w:rPr>
          <w:rFonts w:cstheme="minorHAnsi"/>
          <w:lang w:val="en-US"/>
        </w:rPr>
      </w:pPr>
      <w:r>
        <w:rPr>
          <w:rFonts w:cstheme="minorHAnsi"/>
          <w:lang w:val="en-US"/>
        </w:rPr>
        <w:tab/>
        <w:t xml:space="preserve">The characterization phase, as the name implies, consists of characterizing the PMS space.  This phase, in turn, consists of </w:t>
      </w:r>
      <w:r w:rsidR="00DF6D2C">
        <w:rPr>
          <w:rFonts w:cstheme="minorHAnsi"/>
          <w:lang w:val="en-US"/>
        </w:rPr>
        <w:t>four</w:t>
      </w:r>
      <w:r>
        <w:rPr>
          <w:rFonts w:cstheme="minorHAnsi"/>
          <w:lang w:val="en-US"/>
        </w:rPr>
        <w:t xml:space="preserve"> sub-phase</w:t>
      </w:r>
      <w:r w:rsidR="00F5415E">
        <w:rPr>
          <w:rFonts w:cstheme="minorHAnsi"/>
          <w:lang w:val="en-US"/>
        </w:rPr>
        <w:t>s</w:t>
      </w:r>
      <w:r>
        <w:rPr>
          <w:rFonts w:cstheme="minorHAnsi"/>
          <w:lang w:val="en-US"/>
        </w:rPr>
        <w:t xml:space="preserve">: determining the number of </w:t>
      </w:r>
      <w:proofErr w:type="spellStart"/>
      <w:r w:rsidR="00F5415E">
        <w:rPr>
          <w:rFonts w:cstheme="minorHAnsi"/>
          <w:lang w:val="en-US"/>
        </w:rPr>
        <w:t>sub</w:t>
      </w:r>
      <w:r>
        <w:rPr>
          <w:rFonts w:cstheme="minorHAnsi"/>
          <w:lang w:val="en-US"/>
        </w:rPr>
        <w:t>states</w:t>
      </w:r>
      <w:proofErr w:type="spellEnd"/>
      <w:r>
        <w:rPr>
          <w:rFonts w:cstheme="minorHAnsi"/>
          <w:lang w:val="en-US"/>
        </w:rPr>
        <w:t xml:space="preserve"> in the </w:t>
      </w:r>
      <w:r w:rsidR="00F5415E">
        <w:rPr>
          <w:rFonts w:cstheme="minorHAnsi"/>
          <w:lang w:val="en-US"/>
        </w:rPr>
        <w:t xml:space="preserve">space, extracting the spatial </w:t>
      </w:r>
      <w:proofErr w:type="spellStart"/>
      <w:r w:rsidR="00F5415E">
        <w:rPr>
          <w:rFonts w:cstheme="minorHAnsi"/>
          <w:lang w:val="en-US"/>
        </w:rPr>
        <w:t>substates</w:t>
      </w:r>
      <w:proofErr w:type="spellEnd"/>
      <w:r w:rsidR="00F5415E">
        <w:rPr>
          <w:rFonts w:cstheme="minorHAnsi"/>
          <w:lang w:val="en-US"/>
        </w:rPr>
        <w:t xml:space="preserve"> </w:t>
      </w:r>
      <w:r w:rsidR="00F935CF">
        <w:rPr>
          <w:rFonts w:cstheme="minorHAnsi"/>
          <w:lang w:val="en-US"/>
        </w:rPr>
        <w:t>that compose the space</w:t>
      </w:r>
      <w:r w:rsidR="00F5415E">
        <w:rPr>
          <w:rFonts w:cstheme="minorHAnsi"/>
          <w:lang w:val="en-US"/>
        </w:rPr>
        <w:t xml:space="preserve">, </w:t>
      </w:r>
      <w:r w:rsidR="0072431C">
        <w:rPr>
          <w:rFonts w:cstheme="minorHAnsi"/>
          <w:lang w:val="en-US"/>
        </w:rPr>
        <w:t>extracting</w:t>
      </w:r>
      <w:r w:rsidR="00F5415E">
        <w:rPr>
          <w:rFonts w:cstheme="minorHAnsi"/>
          <w:lang w:val="en-US"/>
        </w:rPr>
        <w:t xml:space="preserve"> the</w:t>
      </w:r>
      <w:r w:rsidR="0072431C">
        <w:rPr>
          <w:rFonts w:cstheme="minorHAnsi"/>
          <w:lang w:val="en-US"/>
        </w:rPr>
        <w:t xml:space="preserve"> activation</w:t>
      </w:r>
      <w:r w:rsidR="00F5415E">
        <w:rPr>
          <w:rFonts w:cstheme="minorHAnsi"/>
          <w:lang w:val="en-US"/>
        </w:rPr>
        <w:t xml:space="preserve"> time series </w:t>
      </w:r>
      <w:r w:rsidR="0072431C">
        <w:rPr>
          <w:rFonts w:cstheme="minorHAnsi"/>
          <w:lang w:val="en-US"/>
        </w:rPr>
        <w:t>of</w:t>
      </w:r>
      <w:r w:rsidR="00F5415E">
        <w:rPr>
          <w:rFonts w:cstheme="minorHAnsi"/>
          <w:lang w:val="en-US"/>
        </w:rPr>
        <w:t xml:space="preserve"> each </w:t>
      </w:r>
      <w:proofErr w:type="spellStart"/>
      <w:r w:rsidR="00F5415E">
        <w:rPr>
          <w:rFonts w:cstheme="minorHAnsi"/>
          <w:lang w:val="en-US"/>
        </w:rPr>
        <w:t>substat</w:t>
      </w:r>
      <w:r w:rsidR="00DF6D2C">
        <w:rPr>
          <w:rFonts w:cstheme="minorHAnsi"/>
          <w:lang w:val="en-US"/>
        </w:rPr>
        <w:t>e</w:t>
      </w:r>
      <w:proofErr w:type="spellEnd"/>
      <w:r w:rsidR="00DF6D2C">
        <w:rPr>
          <w:rFonts w:cstheme="minorHAnsi"/>
          <w:lang w:val="en-US"/>
        </w:rPr>
        <w:t xml:space="preserve">, and determining the activation probabilities, lifetimes, and transition probabilities of each </w:t>
      </w:r>
      <w:proofErr w:type="spellStart"/>
      <w:r w:rsidR="00DF6D2C">
        <w:rPr>
          <w:rFonts w:cstheme="minorHAnsi"/>
          <w:lang w:val="en-US"/>
        </w:rPr>
        <w:t>substate</w:t>
      </w:r>
      <w:proofErr w:type="spellEnd"/>
      <w:r w:rsidR="00DF6D2C">
        <w:rPr>
          <w:rFonts w:cstheme="minorHAnsi"/>
          <w:lang w:val="en-US"/>
        </w:rPr>
        <w:t xml:space="preserve">.  These three metrics, along with the spatial topology of the </w:t>
      </w:r>
      <w:proofErr w:type="spellStart"/>
      <w:r w:rsidR="00DF6D2C">
        <w:rPr>
          <w:rFonts w:cstheme="minorHAnsi"/>
          <w:lang w:val="en-US"/>
        </w:rPr>
        <w:t>substates</w:t>
      </w:r>
      <w:proofErr w:type="spellEnd"/>
      <w:r w:rsidR="00DF6D2C">
        <w:rPr>
          <w:rFonts w:cstheme="minorHAnsi"/>
          <w:lang w:val="en-US"/>
        </w:rPr>
        <w:t xml:space="preserve">, fully characterize the probabilistic metastable </w:t>
      </w:r>
      <w:proofErr w:type="spellStart"/>
      <w:r w:rsidR="00DF6D2C">
        <w:rPr>
          <w:rFonts w:cstheme="minorHAnsi"/>
          <w:lang w:val="en-US"/>
        </w:rPr>
        <w:t>substate</w:t>
      </w:r>
      <w:proofErr w:type="spellEnd"/>
      <w:r w:rsidR="00DF6D2C">
        <w:rPr>
          <w:rFonts w:cstheme="minorHAnsi"/>
          <w:lang w:val="en-US"/>
        </w:rPr>
        <w:t xml:space="preserve"> space</w:t>
      </w:r>
      <w:r w:rsidR="00A0445A">
        <w:rPr>
          <w:rFonts w:cstheme="minorHAnsi"/>
          <w:lang w:val="en-US"/>
        </w:rPr>
        <w:t>.</w:t>
      </w:r>
    </w:p>
    <w:p w14:paraId="18065329" w14:textId="2D3E8325" w:rsidR="002A0535" w:rsidRDefault="00A0445A" w:rsidP="00034090">
      <w:pPr>
        <w:spacing w:line="360" w:lineRule="auto"/>
        <w:rPr>
          <w:rFonts w:cstheme="minorHAnsi"/>
          <w:lang w:val="en-US"/>
        </w:rPr>
      </w:pPr>
      <w:r>
        <w:rPr>
          <w:rFonts w:cstheme="minorHAnsi"/>
          <w:lang w:val="en-US"/>
        </w:rPr>
        <w:tab/>
        <w:t xml:space="preserve">The fitting phase of PMS analysis consists of designing a dynamic model of the network (in our case, the human brain) and fitting this model to the activation and transition probabilities </w:t>
      </w:r>
      <w:r w:rsidR="00015E4E">
        <w:rPr>
          <w:rFonts w:cstheme="minorHAnsi"/>
          <w:lang w:val="en-US"/>
        </w:rPr>
        <w:t xml:space="preserve">found during the characterization phase.  This phase has the goal of producing a dynamic network model which is able to replicate the activation and transition probability distributions extracted from empirical data.  To this end, the free parameters of the dynamic model are methodically adjusted in order to minimize the distance between the selected test statistic(s) of the model and the empirical data.  </w:t>
      </w:r>
      <w:r w:rsidR="009756FC">
        <w:rPr>
          <w:rFonts w:cstheme="minorHAnsi"/>
          <w:lang w:val="en-US"/>
        </w:rPr>
        <w:t xml:space="preserve">Typical test statistics consist of the </w:t>
      </w:r>
      <w:proofErr w:type="spellStart"/>
      <w:r w:rsidR="00C3434E">
        <w:rPr>
          <w:rFonts w:cstheme="minorHAnsi"/>
          <w:lang w:val="en-US"/>
        </w:rPr>
        <w:t>substate</w:t>
      </w:r>
      <w:proofErr w:type="spellEnd"/>
      <w:r w:rsidR="00C3434E">
        <w:rPr>
          <w:rFonts w:cstheme="minorHAnsi"/>
          <w:lang w:val="en-US"/>
        </w:rPr>
        <w:t xml:space="preserve"> activation probabilities, the </w:t>
      </w:r>
      <w:proofErr w:type="spellStart"/>
      <w:r w:rsidR="00C3434E">
        <w:rPr>
          <w:rFonts w:cstheme="minorHAnsi"/>
          <w:lang w:val="en-US"/>
        </w:rPr>
        <w:t>substate</w:t>
      </w:r>
      <w:proofErr w:type="spellEnd"/>
      <w:r w:rsidR="00C3434E">
        <w:rPr>
          <w:rFonts w:cstheme="minorHAnsi"/>
          <w:lang w:val="en-US"/>
        </w:rPr>
        <w:t xml:space="preserve"> activation lifetimes, and the </w:t>
      </w:r>
      <w:proofErr w:type="spellStart"/>
      <w:r w:rsidR="00C3434E">
        <w:rPr>
          <w:rFonts w:cstheme="minorHAnsi"/>
          <w:lang w:val="en-US"/>
        </w:rPr>
        <w:t>substate</w:t>
      </w:r>
      <w:proofErr w:type="spellEnd"/>
      <w:r w:rsidR="00C3434E">
        <w:rPr>
          <w:rFonts w:cstheme="minorHAnsi"/>
          <w:lang w:val="en-US"/>
        </w:rPr>
        <w:t xml:space="preserve"> transition probabilities</w:t>
      </w:r>
      <w:r w:rsidR="009756FC">
        <w:rPr>
          <w:rFonts w:cstheme="minorHAnsi"/>
          <w:lang w:val="en-US"/>
        </w:rPr>
        <w:t xml:space="preserve">.  </w:t>
      </w:r>
      <w:r w:rsidR="00015E4E">
        <w:rPr>
          <w:rFonts w:cstheme="minorHAnsi"/>
          <w:lang w:val="en-US"/>
        </w:rPr>
        <w:t>Distance</w:t>
      </w:r>
      <w:r w:rsidR="009756FC">
        <w:rPr>
          <w:rFonts w:cstheme="minorHAnsi"/>
          <w:lang w:val="en-US"/>
        </w:rPr>
        <w:t xml:space="preserve"> between the modeled and the empirical test statistics</w:t>
      </w:r>
      <w:r w:rsidR="00015E4E">
        <w:rPr>
          <w:rFonts w:cstheme="minorHAnsi"/>
          <w:lang w:val="en-US"/>
        </w:rPr>
        <w:t xml:space="preserve"> is measured using the Kolmogorov-Smirnov two-tailed test statistic or the </w:t>
      </w:r>
      <w:proofErr w:type="spellStart"/>
      <w:r w:rsidR="00015E4E">
        <w:rPr>
          <w:rFonts w:cstheme="minorHAnsi"/>
          <w:lang w:val="en-US"/>
        </w:rPr>
        <w:t>Kullback-</w:t>
      </w:r>
      <w:r w:rsidR="00130C5F">
        <w:rPr>
          <w:rFonts w:cstheme="minorHAnsi"/>
          <w:lang w:val="en-US"/>
        </w:rPr>
        <w:t>Liebler</w:t>
      </w:r>
      <w:proofErr w:type="spellEnd"/>
      <w:r w:rsidR="00130C5F">
        <w:rPr>
          <w:rFonts w:cstheme="minorHAnsi"/>
          <w:lang w:val="en-US"/>
        </w:rPr>
        <w:t xml:space="preserve"> divergence.</w:t>
      </w:r>
    </w:p>
    <w:p w14:paraId="5239F29D" w14:textId="3B806AD4" w:rsidR="003B20F6" w:rsidRDefault="003B20F6" w:rsidP="00034090">
      <w:pPr>
        <w:spacing w:line="360" w:lineRule="auto"/>
        <w:rPr>
          <w:rFonts w:cstheme="minorHAnsi"/>
          <w:lang w:val="en-US"/>
        </w:rPr>
      </w:pPr>
      <w:r>
        <w:rPr>
          <w:rFonts w:cstheme="minorHAnsi"/>
          <w:lang w:val="en-US"/>
        </w:rPr>
        <w:tab/>
        <w:t xml:space="preserve">Finally, the </w:t>
      </w:r>
      <w:r w:rsidR="00162BF0">
        <w:rPr>
          <w:rFonts w:cstheme="minorHAnsi"/>
          <w:lang w:val="en-US"/>
        </w:rPr>
        <w:t>simulation phase of the PMS space analysis</w:t>
      </w:r>
      <w:r w:rsidR="00C66228">
        <w:rPr>
          <w:rFonts w:cstheme="minorHAnsi"/>
          <w:lang w:val="en-US"/>
        </w:rPr>
        <w:t xml:space="preserve"> utilizes the fitted dynamic model to simulate the activation time series of extracted from the empirical data.  Importantly, the effect of stimulati</w:t>
      </w:r>
      <w:r w:rsidR="003672F7">
        <w:rPr>
          <w:rFonts w:cstheme="minorHAnsi"/>
          <w:lang w:val="en-US"/>
        </w:rPr>
        <w:t>ng</w:t>
      </w:r>
      <w:r w:rsidR="00C66228">
        <w:rPr>
          <w:rFonts w:cstheme="minorHAnsi"/>
          <w:lang w:val="en-US"/>
        </w:rPr>
        <w:t xml:space="preserve"> or dampening brain regions may be </w:t>
      </w:r>
      <w:r w:rsidR="00810706">
        <w:rPr>
          <w:rFonts w:cstheme="minorHAnsi"/>
          <w:lang w:val="en-US"/>
        </w:rPr>
        <w:t xml:space="preserve">methodically </w:t>
      </w:r>
      <w:r w:rsidR="00C66228">
        <w:rPr>
          <w:rFonts w:cstheme="minorHAnsi"/>
          <w:lang w:val="en-US"/>
        </w:rPr>
        <w:t>tested in this model</w:t>
      </w:r>
      <w:r w:rsidR="00810706">
        <w:rPr>
          <w:rFonts w:cstheme="minorHAnsi"/>
          <w:lang w:val="en-US"/>
        </w:rPr>
        <w:t xml:space="preserve"> in order to determine </w:t>
      </w:r>
      <w:r w:rsidR="003672F7">
        <w:rPr>
          <w:rFonts w:cstheme="minorHAnsi"/>
          <w:lang w:val="en-US"/>
        </w:rPr>
        <w:t xml:space="preserve">the influence of each region </w:t>
      </w:r>
      <w:r w:rsidR="003672F7">
        <w:rPr>
          <w:rFonts w:cstheme="minorHAnsi"/>
          <w:lang w:val="en-US"/>
        </w:rPr>
        <w:lastRenderedPageBreak/>
        <w:t xml:space="preserve">on the overall dynamics of the brain.  Thus far, this simulation has sought the region(s) which most efficiently </w:t>
      </w:r>
      <w:r w:rsidR="00E067E3">
        <w:rPr>
          <w:rFonts w:cstheme="minorHAnsi"/>
          <w:lang w:val="en-US"/>
        </w:rPr>
        <w:t>force a transition from one PMS space to another, e.g. those regions which can most efficiently force a transition from the “sleeping” space to the “awake” space.  I</w:t>
      </w:r>
      <w:r w:rsidR="00923240">
        <w:rPr>
          <w:rFonts w:cstheme="minorHAnsi"/>
          <w:lang w:val="en-US"/>
        </w:rPr>
        <w:t>t may be possible to explore alternative</w:t>
      </w:r>
      <w:r w:rsidR="002D30E9">
        <w:rPr>
          <w:rFonts w:cstheme="minorHAnsi"/>
          <w:lang w:val="en-US"/>
        </w:rPr>
        <w:t xml:space="preserve"> effects through this stimulation protocol, but thus far none have been implemented.</w:t>
      </w:r>
    </w:p>
    <w:p w14:paraId="7E54D497" w14:textId="77777777" w:rsidR="002D30E9" w:rsidRPr="002D30E9" w:rsidRDefault="002D30E9" w:rsidP="002D30E9">
      <w:pPr>
        <w:spacing w:line="360" w:lineRule="auto"/>
        <w:rPr>
          <w:rFonts w:cstheme="minorHAnsi"/>
          <w:lang w:val="en-US"/>
        </w:rPr>
      </w:pPr>
    </w:p>
    <w:p w14:paraId="176CA36A" w14:textId="657F3A56" w:rsidR="002D30E9" w:rsidRPr="002D30E9" w:rsidRDefault="002D30E9" w:rsidP="002D30E9">
      <w:pPr>
        <w:spacing w:line="360" w:lineRule="auto"/>
        <w:rPr>
          <w:rFonts w:cstheme="minorHAnsi"/>
          <w:b/>
          <w:bCs/>
          <w:lang w:val="en-US"/>
        </w:rPr>
      </w:pPr>
      <w:r>
        <w:rPr>
          <w:rFonts w:cstheme="minorHAnsi"/>
          <w:b/>
          <w:bCs/>
          <w:lang w:val="en-US"/>
        </w:rPr>
        <w:t>I</w:t>
      </w:r>
      <w:r w:rsidRPr="002D30E9">
        <w:rPr>
          <w:rFonts w:cstheme="minorHAnsi"/>
          <w:b/>
          <w:bCs/>
          <w:lang w:val="en-US"/>
        </w:rPr>
        <w:t xml:space="preserve">: </w:t>
      </w:r>
      <w:r>
        <w:rPr>
          <w:rFonts w:cstheme="minorHAnsi"/>
          <w:b/>
          <w:bCs/>
          <w:lang w:val="en-US"/>
        </w:rPr>
        <w:t>Characterization</w:t>
      </w:r>
    </w:p>
    <w:p w14:paraId="71AB741B" w14:textId="54144BD4" w:rsidR="002D30E9" w:rsidRDefault="002D30E9" w:rsidP="00034090">
      <w:pPr>
        <w:spacing w:line="360" w:lineRule="auto"/>
        <w:rPr>
          <w:rFonts w:cstheme="minorHAnsi"/>
          <w:lang w:val="en-US"/>
        </w:rPr>
      </w:pPr>
      <w:r>
        <w:rPr>
          <w:rFonts w:cstheme="minorHAnsi"/>
          <w:lang w:val="en-US"/>
        </w:rPr>
        <w:tab/>
      </w:r>
      <w:r w:rsidR="005F49E6">
        <w:rPr>
          <w:rFonts w:cstheme="minorHAnsi"/>
          <w:lang w:val="en-US"/>
        </w:rPr>
        <w:t xml:space="preserve">The current study utilizes the LEIDA protocol (to be detailed in a separate report) to characterize the PMS space of both patient and control groups.  </w:t>
      </w:r>
      <w:r w:rsidR="00FC3EEA">
        <w:rPr>
          <w:rFonts w:cstheme="minorHAnsi"/>
          <w:lang w:val="en-US"/>
        </w:rPr>
        <w:t>In summary, t</w:t>
      </w:r>
      <w:r w:rsidR="005F49E6">
        <w:rPr>
          <w:rFonts w:cstheme="minorHAnsi"/>
          <w:lang w:val="en-US"/>
        </w:rPr>
        <w:t xml:space="preserve">his protocol </w:t>
      </w:r>
      <w:r w:rsidR="00904C96">
        <w:rPr>
          <w:rFonts w:cstheme="minorHAnsi"/>
          <w:lang w:val="en-US"/>
        </w:rPr>
        <w:t xml:space="preserve">detects the number of </w:t>
      </w:r>
      <w:proofErr w:type="spellStart"/>
      <w:r w:rsidR="00904C96">
        <w:rPr>
          <w:rFonts w:cstheme="minorHAnsi"/>
          <w:lang w:val="en-US"/>
        </w:rPr>
        <w:t>substates</w:t>
      </w:r>
      <w:proofErr w:type="spellEnd"/>
      <w:r w:rsidR="00904C96">
        <w:rPr>
          <w:rFonts w:cstheme="minorHAnsi"/>
          <w:lang w:val="en-US"/>
        </w:rPr>
        <w:t xml:space="preserve"> in the concatenated BOLD time series using</w:t>
      </w:r>
      <w:r w:rsidR="005E6686">
        <w:rPr>
          <w:rFonts w:cstheme="minorHAnsi"/>
          <w:lang w:val="en-US"/>
        </w:rPr>
        <w:t xml:space="preserve"> the </w:t>
      </w:r>
      <w:proofErr w:type="spellStart"/>
      <w:r w:rsidR="005E6686">
        <w:rPr>
          <w:rFonts w:cstheme="minorHAnsi"/>
          <w:lang w:val="en-US"/>
        </w:rPr>
        <w:t>Marcenko</w:t>
      </w:r>
      <w:proofErr w:type="spellEnd"/>
      <w:r w:rsidR="005E6686">
        <w:rPr>
          <w:rFonts w:cstheme="minorHAnsi"/>
          <w:lang w:val="en-US"/>
        </w:rPr>
        <w:t>-Pasteur distribution</w:t>
      </w:r>
      <w:r w:rsidR="00904C96">
        <w:rPr>
          <w:rFonts w:cstheme="minorHAnsi"/>
          <w:lang w:val="en-US"/>
        </w:rPr>
        <w:t xml:space="preserve"> </w:t>
      </w:r>
      <w:r w:rsidR="005E6686">
        <w:rPr>
          <w:rFonts w:cstheme="minorHAnsi"/>
          <w:lang w:val="en-US"/>
        </w:rPr>
        <w:fldChar w:fldCharType="begin" w:fldLock="1"/>
      </w:r>
      <w:r w:rsidR="00C6182B">
        <w:rPr>
          <w:rFonts w:cstheme="minorHAnsi"/>
          <w:lang w:val="en-US"/>
        </w:rPr>
        <w:instrText>ADDIN CSL_CITATION {"citationItems":[{"id":"ITEM-1","itemData":{"DOI":"10.1016/j.jneumeth.2013.04.010","ISBN":"5434148045","ISSN":"01650270","PMID":"23639919","abstract":"Recent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B.V.","author":[{"dropping-particle":"","family":"Lopes-dos-Santos","given":"Vítor","non-dropping-particle":"","parse-names":false,"suffix":""},{"dropping-particle":"","family":"Ribeiro","given":"Sidarta T.","non-dropping-particle":"","parse-names":false,"suffix":""},{"dropping-particle":"","family":"Tort","given":"Adriano B.L.","non-dropping-particle":"","parse-names":false,"suffix":""}],"container-title":"Journal of Neuroscience Methods","id":"ITEM-1","issue":"2","issued":{"date-parts":[["2013"]]},"page":"149-166","publisher":"Elsevier B.V.","title":"Detecting cell assemblies in large neuronal populations","type":"article-journal","volume":"220"},"uris":["http://www.mendeley.com/documents/?uuid=e976edfb-a292-45d7-b45c-434bc14e5c8c"]}],"mendeley":{"formattedCitation":"(Lopes-dos-Santos, Ribeiro, and Tort 2013)","plainTextFormattedCitation":"(Lopes-dos-Santos, Ribeiro, and Tort 2013)","previouslyFormattedCitation":"(Lopes-dos-Santos, Ribeiro, and Tort 2013)"},"properties":{"noteIndex":0},"schema":"https://github.com/citation-style-language/schema/raw/master/csl-citation.json"}</w:instrText>
      </w:r>
      <w:r w:rsidR="005E6686">
        <w:rPr>
          <w:rFonts w:cstheme="minorHAnsi"/>
          <w:lang w:val="en-US"/>
        </w:rPr>
        <w:fldChar w:fldCharType="separate"/>
      </w:r>
      <w:r w:rsidR="005E6686" w:rsidRPr="005E6686">
        <w:rPr>
          <w:rFonts w:cstheme="minorHAnsi"/>
          <w:noProof/>
          <w:lang w:val="en-US"/>
        </w:rPr>
        <w:t>(Lopes-dos-Santos, Ribeiro, and Tort 2013)</w:t>
      </w:r>
      <w:r w:rsidR="005E6686">
        <w:rPr>
          <w:rFonts w:cstheme="minorHAnsi"/>
          <w:lang w:val="en-US"/>
        </w:rPr>
        <w:fldChar w:fldCharType="end"/>
      </w:r>
      <w:r w:rsidR="005E6686">
        <w:rPr>
          <w:rFonts w:cstheme="minorHAnsi"/>
          <w:lang w:val="en-US"/>
        </w:rPr>
        <w:t>.</w:t>
      </w:r>
      <w:r w:rsidR="00904C96">
        <w:rPr>
          <w:rFonts w:cstheme="minorHAnsi"/>
          <w:lang w:val="en-US"/>
        </w:rPr>
        <w:t xml:space="preserve">  Upon finding the number of </w:t>
      </w:r>
      <w:proofErr w:type="spellStart"/>
      <w:r w:rsidR="00904C96">
        <w:rPr>
          <w:rFonts w:cstheme="minorHAnsi"/>
          <w:lang w:val="en-US"/>
        </w:rPr>
        <w:t>substates</w:t>
      </w:r>
      <w:proofErr w:type="spellEnd"/>
      <w:r w:rsidR="00904C96">
        <w:rPr>
          <w:rFonts w:cstheme="minorHAnsi"/>
          <w:lang w:val="en-US"/>
        </w:rPr>
        <w:t xml:space="preserve">, the </w:t>
      </w:r>
      <w:proofErr w:type="spellStart"/>
      <w:r w:rsidR="00904C96">
        <w:rPr>
          <w:rFonts w:cstheme="minorHAnsi"/>
          <w:lang w:val="en-US"/>
        </w:rPr>
        <w:t>fastICA</w:t>
      </w:r>
      <w:proofErr w:type="spellEnd"/>
      <w:r w:rsidR="00904C96">
        <w:rPr>
          <w:rFonts w:cstheme="minorHAnsi"/>
          <w:lang w:val="en-US"/>
        </w:rPr>
        <w:t xml:space="preserve"> algorithm is used to </w:t>
      </w:r>
      <w:r w:rsidR="00AF50E5">
        <w:rPr>
          <w:rFonts w:cstheme="minorHAnsi"/>
          <w:lang w:val="en-US"/>
        </w:rPr>
        <w:t xml:space="preserve">extract the appropriate spatial independent components and </w:t>
      </w:r>
      <w:r w:rsidR="00AE75E7">
        <w:rPr>
          <w:rFonts w:cstheme="minorHAnsi"/>
          <w:lang w:val="en-US"/>
        </w:rPr>
        <w:t>their associated</w:t>
      </w:r>
      <w:r w:rsidR="00AF50E5">
        <w:rPr>
          <w:rFonts w:cstheme="minorHAnsi"/>
          <w:lang w:val="en-US"/>
        </w:rPr>
        <w:t xml:space="preserve"> temporal activation</w:t>
      </w:r>
      <w:r w:rsidR="00AE75E7">
        <w:rPr>
          <w:rFonts w:cstheme="minorHAnsi"/>
          <w:lang w:val="en-US"/>
        </w:rPr>
        <w:t xml:space="preserve"> sequences</w:t>
      </w:r>
      <w:r w:rsidR="00AF50E5">
        <w:rPr>
          <w:rFonts w:cstheme="minorHAnsi"/>
          <w:lang w:val="en-US"/>
        </w:rPr>
        <w:t xml:space="preserve"> from the concatenated BOLD </w:t>
      </w:r>
      <w:r w:rsidR="00DB7892">
        <w:rPr>
          <w:rFonts w:cstheme="minorHAnsi"/>
          <w:lang w:val="en-US"/>
        </w:rPr>
        <w:t>signal</w:t>
      </w:r>
      <w:r w:rsidR="00AF50E5">
        <w:rPr>
          <w:rFonts w:cstheme="minorHAnsi"/>
          <w:lang w:val="en-US"/>
        </w:rPr>
        <w:t>.</w:t>
      </w:r>
      <w:r w:rsidR="00AE75E7">
        <w:rPr>
          <w:rFonts w:cstheme="minorHAnsi"/>
          <w:lang w:val="en-US"/>
        </w:rPr>
        <w:t xml:space="preserve">  The concatenated BOLD signal and ICA activation sequences are then segmented according to condition, and these condition-wise sequences are </w:t>
      </w:r>
      <w:r w:rsidR="00D86A88">
        <w:rPr>
          <w:rFonts w:cstheme="minorHAnsi"/>
          <w:lang w:val="en-US"/>
        </w:rPr>
        <w:t xml:space="preserve">themselves </w:t>
      </w:r>
      <w:r w:rsidR="00AE75E7">
        <w:rPr>
          <w:rFonts w:cstheme="minorHAnsi"/>
          <w:lang w:val="en-US"/>
        </w:rPr>
        <w:t xml:space="preserve">segmented </w:t>
      </w:r>
      <w:r w:rsidR="00D86A88">
        <w:rPr>
          <w:rFonts w:cstheme="minorHAnsi"/>
          <w:lang w:val="en-US"/>
        </w:rPr>
        <w:t xml:space="preserve">to recover the subject-wise activation sequences.  This produces two </w:t>
      </w:r>
      <w:r w:rsidR="00D86A88">
        <w:rPr>
          <w:rFonts w:cstheme="minorHAnsi"/>
          <w:i/>
          <w:iCs/>
          <w:lang w:val="en-US"/>
        </w:rPr>
        <w:t>S</w:t>
      </w:r>
      <w:r w:rsidR="00D86A88">
        <w:rPr>
          <w:rFonts w:cstheme="minorHAnsi"/>
          <w:lang w:val="en-US"/>
        </w:rPr>
        <w:t xml:space="preserve"> x </w:t>
      </w:r>
      <w:r w:rsidR="00D86A88">
        <w:rPr>
          <w:rFonts w:cstheme="minorHAnsi"/>
          <w:i/>
          <w:iCs/>
          <w:lang w:val="en-US"/>
        </w:rPr>
        <w:t>C</w:t>
      </w:r>
      <w:r w:rsidR="00D86A88">
        <w:rPr>
          <w:rFonts w:cstheme="minorHAnsi"/>
          <w:lang w:val="en-US"/>
        </w:rPr>
        <w:t xml:space="preserve"> MATLAB cell arrays, where </w:t>
      </w:r>
      <w:r w:rsidR="00D86A88" w:rsidRPr="00D86A88">
        <w:rPr>
          <w:rFonts w:cstheme="minorHAnsi"/>
          <w:i/>
          <w:iCs/>
          <w:lang w:val="en-US"/>
        </w:rPr>
        <w:t>S</w:t>
      </w:r>
      <w:r w:rsidR="00D86A88">
        <w:rPr>
          <w:rFonts w:cstheme="minorHAnsi"/>
          <w:lang w:val="en-US"/>
        </w:rPr>
        <w:t xml:space="preserve"> is the number of subjects and </w:t>
      </w:r>
      <w:r w:rsidR="00D86A88" w:rsidRPr="00D86A88">
        <w:rPr>
          <w:rFonts w:cstheme="minorHAnsi"/>
          <w:i/>
          <w:iCs/>
          <w:lang w:val="en-US"/>
        </w:rPr>
        <w:t>C</w:t>
      </w:r>
      <w:r w:rsidR="00D86A88">
        <w:rPr>
          <w:rFonts w:cstheme="minorHAnsi"/>
          <w:lang w:val="en-US"/>
        </w:rPr>
        <w:t xml:space="preserve"> the number of conditions.  In the first of these arrays, each cell containing the BOLD signal of a single subject, indexed by subject number and condition.  The second array is organized in an identical </w:t>
      </w:r>
      <w:r w:rsidR="00AB04AD">
        <w:rPr>
          <w:rFonts w:cstheme="minorHAnsi"/>
          <w:lang w:val="en-US"/>
        </w:rPr>
        <w:t>fashion but</w:t>
      </w:r>
      <w:r w:rsidR="00D86A88">
        <w:rPr>
          <w:rFonts w:cstheme="minorHAnsi"/>
          <w:lang w:val="en-US"/>
        </w:rPr>
        <w:t xml:space="preserve"> contains the independent component activation sequences instead of the BOLD signals.</w:t>
      </w:r>
    </w:p>
    <w:p w14:paraId="3F1729C3" w14:textId="5AB3BBD8" w:rsidR="00AB04AD" w:rsidRDefault="00FC3EEA" w:rsidP="00034090">
      <w:pPr>
        <w:spacing w:line="360" w:lineRule="auto"/>
        <w:rPr>
          <w:rFonts w:cstheme="minorHAnsi"/>
          <w:lang w:val="en-US"/>
        </w:rPr>
      </w:pPr>
      <w:r>
        <w:rPr>
          <w:rFonts w:cstheme="minorHAnsi"/>
          <w:lang w:val="en-US"/>
        </w:rPr>
        <w:tab/>
        <w:t>Upon obtaining the</w:t>
      </w:r>
      <w:r w:rsidR="00AB04AD">
        <w:rPr>
          <w:rFonts w:cstheme="minorHAnsi"/>
          <w:lang w:val="en-US"/>
        </w:rPr>
        <w:t xml:space="preserve"> BOLD signals and</w:t>
      </w:r>
      <w:r>
        <w:rPr>
          <w:rFonts w:cstheme="minorHAnsi"/>
          <w:lang w:val="en-US"/>
        </w:rPr>
        <w:t xml:space="preserve"> </w:t>
      </w:r>
      <w:r w:rsidR="00AB04AD">
        <w:rPr>
          <w:rFonts w:cstheme="minorHAnsi"/>
          <w:lang w:val="en-US"/>
        </w:rPr>
        <w:t>activation sequences for each subject, the</w:t>
      </w:r>
      <w:r w:rsidR="00180C1B">
        <w:rPr>
          <w:rFonts w:cstheme="minorHAnsi"/>
          <w:lang w:val="en-US"/>
        </w:rPr>
        <w:t xml:space="preserve"> </w:t>
      </w:r>
      <w:r w:rsidR="00AB04AD">
        <w:rPr>
          <w:rFonts w:cstheme="minorHAnsi"/>
          <w:lang w:val="en-US"/>
        </w:rPr>
        <w:t>author elected to extract the following metrics from each subject’s component activation sequences:</w:t>
      </w:r>
    </w:p>
    <w:p w14:paraId="468F51F7" w14:textId="050C3288" w:rsidR="00207F43" w:rsidRPr="005B4188" w:rsidRDefault="00AB04AD" w:rsidP="005B4188">
      <w:pPr>
        <w:pStyle w:val="ListParagraph"/>
        <w:numPr>
          <w:ilvl w:val="0"/>
          <w:numId w:val="1"/>
        </w:numPr>
        <w:spacing w:line="276" w:lineRule="auto"/>
        <w:rPr>
          <w:rFonts w:cstheme="minorHAnsi"/>
          <w:lang w:val="en-US"/>
        </w:rPr>
      </w:pPr>
      <w:r w:rsidRPr="005B4188">
        <w:rPr>
          <w:rFonts w:cstheme="minorHAnsi"/>
          <w:lang w:val="en-US"/>
        </w:rPr>
        <w:t xml:space="preserve">Component </w:t>
      </w:r>
      <w:r w:rsidR="009D29F6" w:rsidRPr="005B4188">
        <w:rPr>
          <w:rFonts w:cstheme="minorHAnsi"/>
          <w:lang w:val="en-US"/>
        </w:rPr>
        <w:t>activity</w:t>
      </w:r>
      <w:r w:rsidRPr="005B4188">
        <w:rPr>
          <w:rFonts w:cstheme="minorHAnsi"/>
          <w:lang w:val="en-US"/>
        </w:rPr>
        <w:t xml:space="preserve"> </w:t>
      </w:r>
      <w:r w:rsidR="00B841E2" w:rsidRPr="005B4188">
        <w:rPr>
          <w:rFonts w:cstheme="minorHAnsi"/>
          <w:lang w:val="en-US"/>
        </w:rPr>
        <w:t>distributions</w:t>
      </w:r>
      <w:r w:rsidRPr="005B4188">
        <w:rPr>
          <w:rFonts w:cstheme="minorHAnsi"/>
          <w:lang w:val="en-US"/>
        </w:rPr>
        <w:t xml:space="preserve"> (</w:t>
      </w:r>
      <w:r w:rsidR="00207F43" w:rsidRPr="005B4188">
        <w:rPr>
          <w:rFonts w:cstheme="minorHAnsi"/>
          <w:lang w:val="en-US"/>
        </w:rPr>
        <w:t xml:space="preserve">time series, </w:t>
      </w:r>
      <w:r w:rsidRPr="005B4188">
        <w:rPr>
          <w:rFonts w:cstheme="minorHAnsi"/>
          <w:lang w:val="en-US"/>
        </w:rPr>
        <w:t>means</w:t>
      </w:r>
      <w:r w:rsidR="00207F43" w:rsidRPr="005B4188">
        <w:rPr>
          <w:rFonts w:cstheme="minorHAnsi"/>
          <w:lang w:val="en-US"/>
        </w:rPr>
        <w:t>,</w:t>
      </w:r>
      <w:r w:rsidRPr="005B4188">
        <w:rPr>
          <w:rFonts w:cstheme="minorHAnsi"/>
          <w:lang w:val="en-US"/>
        </w:rPr>
        <w:t xml:space="preserve"> and standard deviations)</w:t>
      </w:r>
    </w:p>
    <w:p w14:paraId="6AB7A026" w14:textId="6627C651" w:rsidR="00AB04AD" w:rsidRDefault="00AB04AD" w:rsidP="00AB04AD">
      <w:pPr>
        <w:pStyle w:val="ListParagraph"/>
        <w:numPr>
          <w:ilvl w:val="0"/>
          <w:numId w:val="1"/>
        </w:numPr>
        <w:spacing w:line="276" w:lineRule="auto"/>
        <w:rPr>
          <w:rFonts w:cstheme="minorHAnsi"/>
          <w:lang w:val="en-US"/>
        </w:rPr>
      </w:pPr>
      <w:r>
        <w:rPr>
          <w:rFonts w:cstheme="minorHAnsi"/>
          <w:lang w:val="en-US"/>
        </w:rPr>
        <w:t xml:space="preserve">Probability of </w:t>
      </w:r>
      <w:r w:rsidR="00141B5B">
        <w:rPr>
          <w:rFonts w:cstheme="minorHAnsi"/>
          <w:lang w:val="en-US"/>
        </w:rPr>
        <w:t>activity events</w:t>
      </w:r>
      <w:r>
        <w:rPr>
          <w:rFonts w:cstheme="minorHAnsi"/>
          <w:lang w:val="en-US"/>
        </w:rPr>
        <w:t xml:space="preserve"> (means and standard deviations)</w:t>
      </w:r>
    </w:p>
    <w:p w14:paraId="214B6119" w14:textId="179594B1" w:rsidR="00AB04AD" w:rsidRDefault="00AB04AD" w:rsidP="00AB04AD">
      <w:pPr>
        <w:pStyle w:val="ListParagraph"/>
        <w:numPr>
          <w:ilvl w:val="0"/>
          <w:numId w:val="1"/>
        </w:numPr>
        <w:spacing w:line="276" w:lineRule="auto"/>
        <w:rPr>
          <w:rFonts w:cstheme="minorHAnsi"/>
          <w:lang w:val="en-US"/>
        </w:rPr>
      </w:pPr>
      <w:r>
        <w:rPr>
          <w:rFonts w:cstheme="minorHAnsi"/>
          <w:lang w:val="en-US"/>
        </w:rPr>
        <w:t xml:space="preserve">Probability of </w:t>
      </w:r>
      <w:r w:rsidR="009D29F6">
        <w:rPr>
          <w:rFonts w:cstheme="minorHAnsi"/>
          <w:lang w:val="en-US"/>
        </w:rPr>
        <w:t xml:space="preserve">activation, with activation defined as activity with a magnitude more than </w:t>
      </w:r>
      <w:r w:rsidR="00141B5B">
        <w:rPr>
          <w:rFonts w:cstheme="minorHAnsi"/>
          <w:lang w:val="en-US"/>
        </w:rPr>
        <w:t xml:space="preserve">one standard deviation </w:t>
      </w:r>
      <w:r w:rsidR="009D29F6">
        <w:rPr>
          <w:rFonts w:cstheme="minorHAnsi"/>
          <w:lang w:val="en-US"/>
        </w:rPr>
        <w:t>from the</w:t>
      </w:r>
      <w:r w:rsidR="00141B5B">
        <w:rPr>
          <w:rFonts w:cstheme="minorHAnsi"/>
          <w:lang w:val="en-US"/>
        </w:rPr>
        <w:t xml:space="preserve"> mean</w:t>
      </w:r>
      <w:r w:rsidR="009D29F6">
        <w:rPr>
          <w:rFonts w:cstheme="minorHAnsi"/>
          <w:lang w:val="en-US"/>
        </w:rPr>
        <w:t>.</w:t>
      </w:r>
    </w:p>
    <w:p w14:paraId="074C0342" w14:textId="43CC8B74" w:rsidR="00AB04AD" w:rsidRDefault="00AB04AD" w:rsidP="00AB04AD">
      <w:pPr>
        <w:pStyle w:val="ListParagraph"/>
        <w:numPr>
          <w:ilvl w:val="0"/>
          <w:numId w:val="1"/>
        </w:numPr>
        <w:spacing w:line="276" w:lineRule="auto"/>
        <w:rPr>
          <w:rFonts w:cstheme="minorHAnsi"/>
          <w:lang w:val="en-US"/>
        </w:rPr>
      </w:pPr>
      <w:r>
        <w:rPr>
          <w:rFonts w:cstheme="minorHAnsi"/>
          <w:lang w:val="en-US"/>
        </w:rPr>
        <w:t>Activity lifetimes (histograms, means, and standard deviations)</w:t>
      </w:r>
    </w:p>
    <w:p w14:paraId="190EB3F0" w14:textId="0C329B59" w:rsidR="005B4188" w:rsidRDefault="005B4188" w:rsidP="00AB04AD">
      <w:pPr>
        <w:pStyle w:val="ListParagraph"/>
        <w:numPr>
          <w:ilvl w:val="0"/>
          <w:numId w:val="1"/>
        </w:numPr>
        <w:spacing w:line="276" w:lineRule="auto"/>
        <w:rPr>
          <w:rFonts w:cstheme="minorHAnsi"/>
          <w:lang w:val="en-US"/>
        </w:rPr>
      </w:pPr>
      <w:r w:rsidRPr="005B4188">
        <w:rPr>
          <w:rFonts w:cstheme="minorHAnsi"/>
          <w:color w:val="FF0000"/>
          <w:lang w:val="en-US"/>
        </w:rPr>
        <w:t>Matrix distance from spatial components to resting-state networks</w:t>
      </w:r>
    </w:p>
    <w:p w14:paraId="219E1788" w14:textId="0F921388" w:rsidR="00AB04AD" w:rsidRDefault="00AB04AD" w:rsidP="00AB04AD">
      <w:pPr>
        <w:pStyle w:val="ListParagraph"/>
        <w:numPr>
          <w:ilvl w:val="0"/>
          <w:numId w:val="1"/>
        </w:numPr>
        <w:spacing w:line="276" w:lineRule="auto"/>
        <w:rPr>
          <w:rFonts w:cstheme="minorHAnsi"/>
          <w:lang w:val="en-US"/>
        </w:rPr>
      </w:pPr>
      <w:r w:rsidRPr="00B65BC5">
        <w:rPr>
          <w:rFonts w:cstheme="minorHAnsi"/>
          <w:color w:val="FF0000"/>
          <w:lang w:val="en-US"/>
        </w:rPr>
        <w:t>Inter-component switching probabilities</w:t>
      </w:r>
    </w:p>
    <w:p w14:paraId="3775932C" w14:textId="14E63933" w:rsidR="00AB04AD" w:rsidRDefault="00AB04AD" w:rsidP="00AB04AD">
      <w:pPr>
        <w:pStyle w:val="ListParagraph"/>
        <w:numPr>
          <w:ilvl w:val="0"/>
          <w:numId w:val="1"/>
        </w:numPr>
        <w:spacing w:line="276" w:lineRule="auto"/>
        <w:rPr>
          <w:rFonts w:cstheme="minorHAnsi"/>
          <w:lang w:val="en-US"/>
        </w:rPr>
      </w:pPr>
      <w:r w:rsidRPr="00B65BC5">
        <w:rPr>
          <w:rFonts w:cstheme="minorHAnsi"/>
          <w:color w:val="FF0000"/>
          <w:lang w:val="en-US"/>
        </w:rPr>
        <w:t>Inter-component transition matrices</w:t>
      </w:r>
    </w:p>
    <w:p w14:paraId="5F2D0F53" w14:textId="1FFFE8EC" w:rsidR="00AB04AD" w:rsidRDefault="00AB04AD" w:rsidP="00AB04AD">
      <w:pPr>
        <w:pStyle w:val="ListParagraph"/>
        <w:numPr>
          <w:ilvl w:val="0"/>
          <w:numId w:val="1"/>
        </w:numPr>
        <w:spacing w:line="276" w:lineRule="auto"/>
        <w:rPr>
          <w:rFonts w:cstheme="minorHAnsi"/>
          <w:lang w:val="en-US"/>
        </w:rPr>
      </w:pPr>
      <w:proofErr w:type="spellStart"/>
      <w:r>
        <w:rPr>
          <w:rFonts w:cstheme="minorHAnsi"/>
          <w:lang w:val="en-US"/>
        </w:rPr>
        <w:lastRenderedPageBreak/>
        <w:t>Kuramoto</w:t>
      </w:r>
      <w:proofErr w:type="spellEnd"/>
      <w:r>
        <w:rPr>
          <w:rFonts w:cstheme="minorHAnsi"/>
          <w:lang w:val="en-US"/>
        </w:rPr>
        <w:t xml:space="preserve"> order parameter (time series, means, and standard deviations)</w:t>
      </w:r>
    </w:p>
    <w:p w14:paraId="37975829" w14:textId="3F44D6E8" w:rsidR="004A59C5" w:rsidRDefault="004A59C5" w:rsidP="004A59C5">
      <w:pPr>
        <w:pStyle w:val="ListParagraph"/>
        <w:numPr>
          <w:ilvl w:val="1"/>
          <w:numId w:val="1"/>
        </w:numPr>
        <w:spacing w:line="276" w:lineRule="auto"/>
        <w:rPr>
          <w:rFonts w:cstheme="minorHAnsi"/>
          <w:lang w:val="en-US"/>
        </w:rPr>
      </w:pPr>
      <w:r>
        <w:rPr>
          <w:rFonts w:cstheme="minorHAnsi"/>
          <w:lang w:val="en-US"/>
        </w:rPr>
        <w:t>Global, per subject</w:t>
      </w:r>
    </w:p>
    <w:p w14:paraId="4EF56556" w14:textId="3D545C17" w:rsidR="004A59C5" w:rsidRDefault="004A59C5" w:rsidP="004A59C5">
      <w:pPr>
        <w:pStyle w:val="ListParagraph"/>
        <w:numPr>
          <w:ilvl w:val="1"/>
          <w:numId w:val="1"/>
        </w:numPr>
        <w:spacing w:line="276" w:lineRule="auto"/>
        <w:rPr>
          <w:rFonts w:cstheme="minorHAnsi"/>
          <w:lang w:val="en-US"/>
        </w:rPr>
      </w:pPr>
      <w:r w:rsidRPr="00B65BC5">
        <w:rPr>
          <w:rFonts w:cstheme="minorHAnsi"/>
          <w:color w:val="FF0000"/>
          <w:lang w:val="en-US"/>
        </w:rPr>
        <w:t>Per assembly</w:t>
      </w:r>
    </w:p>
    <w:p w14:paraId="04208F9E" w14:textId="4DE7C7D8" w:rsidR="00B65BC5" w:rsidRDefault="00374759" w:rsidP="00B65BC5">
      <w:pPr>
        <w:pStyle w:val="ListParagraph"/>
        <w:numPr>
          <w:ilvl w:val="0"/>
          <w:numId w:val="1"/>
        </w:numPr>
        <w:spacing w:line="276" w:lineRule="auto"/>
        <w:rPr>
          <w:rFonts w:cstheme="minorHAnsi"/>
          <w:lang w:val="en-US"/>
        </w:rPr>
      </w:pPr>
      <w:r>
        <w:rPr>
          <w:rFonts w:cstheme="minorHAnsi"/>
          <w:lang w:val="en-US"/>
        </w:rPr>
        <w:t>Shannon entropy</w:t>
      </w:r>
      <w:r w:rsidR="00B65BC5" w:rsidRPr="00B65BC5">
        <w:rPr>
          <w:rFonts w:cstheme="minorHAnsi"/>
          <w:lang w:val="en-US"/>
        </w:rPr>
        <w:t xml:space="preserve"> </w:t>
      </w:r>
    </w:p>
    <w:p w14:paraId="7032645B" w14:textId="77777777" w:rsidR="00B65BC5" w:rsidRDefault="00B65BC5" w:rsidP="00B65BC5">
      <w:pPr>
        <w:pStyle w:val="ListParagraph"/>
        <w:numPr>
          <w:ilvl w:val="1"/>
          <w:numId w:val="1"/>
        </w:numPr>
        <w:spacing w:line="276" w:lineRule="auto"/>
        <w:rPr>
          <w:rFonts w:cstheme="minorHAnsi"/>
          <w:lang w:val="en-US"/>
        </w:rPr>
      </w:pPr>
      <w:r>
        <w:rPr>
          <w:rFonts w:cstheme="minorHAnsi"/>
          <w:lang w:val="en-US"/>
        </w:rPr>
        <w:t>Global, per subject</w:t>
      </w:r>
    </w:p>
    <w:p w14:paraId="5840ED98" w14:textId="77777777" w:rsidR="00B65BC5" w:rsidRDefault="00B65BC5" w:rsidP="00B65BC5">
      <w:pPr>
        <w:pStyle w:val="ListParagraph"/>
        <w:numPr>
          <w:ilvl w:val="1"/>
          <w:numId w:val="1"/>
        </w:numPr>
        <w:spacing w:line="276" w:lineRule="auto"/>
        <w:rPr>
          <w:rFonts w:cstheme="minorHAnsi"/>
          <w:lang w:val="en-US"/>
        </w:rPr>
      </w:pPr>
      <w:r w:rsidRPr="00B65BC5">
        <w:rPr>
          <w:rFonts w:cstheme="minorHAnsi"/>
          <w:color w:val="FF0000"/>
          <w:lang w:val="en-US"/>
        </w:rPr>
        <w:t>Per assembly</w:t>
      </w:r>
    </w:p>
    <w:p w14:paraId="3CAFF9B2" w14:textId="3D266D83" w:rsidR="0087004F" w:rsidRPr="0087004F" w:rsidRDefault="00B65BC5" w:rsidP="0087004F">
      <w:pPr>
        <w:pStyle w:val="ListParagraph"/>
        <w:numPr>
          <w:ilvl w:val="0"/>
          <w:numId w:val="1"/>
        </w:numPr>
        <w:spacing w:line="276" w:lineRule="auto"/>
        <w:rPr>
          <w:rFonts w:cstheme="minorHAnsi"/>
          <w:lang w:val="en-US"/>
        </w:rPr>
      </w:pPr>
      <w:r w:rsidRPr="0087004F">
        <w:rPr>
          <w:rFonts w:cstheme="minorHAnsi"/>
          <w:color w:val="ED7D31" w:themeColor="accent2"/>
          <w:lang w:val="en-US"/>
        </w:rPr>
        <w:t>Cohesion</w:t>
      </w:r>
      <w:r w:rsidR="0087004F">
        <w:rPr>
          <w:rFonts w:cstheme="minorHAnsi"/>
          <w:color w:val="ED7D31" w:themeColor="accent2"/>
          <w:lang w:val="en-US"/>
        </w:rPr>
        <w:t xml:space="preserve"> </w:t>
      </w:r>
      <w:r w:rsidR="0087004F" w:rsidRPr="0087004F">
        <w:rPr>
          <w:rFonts w:cstheme="minorHAnsi"/>
          <w:lang w:val="en-US"/>
        </w:rPr>
        <w:t>(fairly sure this is incorrectly implemented)</w:t>
      </w:r>
    </w:p>
    <w:p w14:paraId="35A8D010" w14:textId="60A5335A" w:rsidR="00B65BC5" w:rsidRDefault="00B65BC5" w:rsidP="00B65BC5">
      <w:pPr>
        <w:pStyle w:val="ListParagraph"/>
        <w:numPr>
          <w:ilvl w:val="1"/>
          <w:numId w:val="1"/>
        </w:numPr>
        <w:spacing w:line="276" w:lineRule="auto"/>
        <w:rPr>
          <w:rFonts w:cstheme="minorHAnsi"/>
          <w:lang w:val="en-US"/>
        </w:rPr>
      </w:pPr>
      <w:r>
        <w:rPr>
          <w:rFonts w:cstheme="minorHAnsi"/>
          <w:lang w:val="en-US"/>
        </w:rPr>
        <w:t>Global, per subject</w:t>
      </w:r>
    </w:p>
    <w:p w14:paraId="2842B414" w14:textId="77777777" w:rsidR="00B65BC5" w:rsidRDefault="00B65BC5" w:rsidP="00B65BC5">
      <w:pPr>
        <w:pStyle w:val="ListParagraph"/>
        <w:numPr>
          <w:ilvl w:val="1"/>
          <w:numId w:val="1"/>
        </w:numPr>
        <w:spacing w:line="276" w:lineRule="auto"/>
        <w:rPr>
          <w:rFonts w:cstheme="minorHAnsi"/>
          <w:lang w:val="en-US"/>
        </w:rPr>
      </w:pPr>
      <w:r w:rsidRPr="00B65BC5">
        <w:rPr>
          <w:rFonts w:cstheme="minorHAnsi"/>
          <w:color w:val="FF0000"/>
          <w:lang w:val="en-US"/>
        </w:rPr>
        <w:t>Per assembly</w:t>
      </w:r>
    </w:p>
    <w:p w14:paraId="2E4A17A6" w14:textId="7499DE3F" w:rsidR="00AB04AD" w:rsidRDefault="0045082A" w:rsidP="00B65BC5">
      <w:pPr>
        <w:spacing w:line="360" w:lineRule="auto"/>
        <w:rPr>
          <w:rFonts w:cstheme="minorHAnsi"/>
          <w:lang w:val="en-US"/>
        </w:rPr>
      </w:pPr>
      <w:r>
        <w:rPr>
          <w:rFonts w:cstheme="minorHAnsi"/>
          <w:lang w:val="en-US"/>
        </w:rPr>
        <w:t xml:space="preserve">These metrics were then tested for group-level differences using the Kolmogorov-Smirnov two-sample test.  </w:t>
      </w:r>
      <w:r w:rsidR="004D2B96">
        <w:rPr>
          <w:rFonts w:cstheme="minorHAnsi"/>
          <w:lang w:val="en-US"/>
        </w:rPr>
        <w:t>Since assembly-wise metrics require testing the same subject multiple times, the results of these tests</w:t>
      </w:r>
      <w:r>
        <w:rPr>
          <w:rFonts w:cstheme="minorHAnsi"/>
          <w:lang w:val="en-US"/>
        </w:rPr>
        <w:t xml:space="preserve"> underwent multiple-comparison correction with the </w:t>
      </w:r>
      <w:proofErr w:type="spellStart"/>
      <w:r>
        <w:rPr>
          <w:rFonts w:cstheme="minorHAnsi"/>
          <w:lang w:val="en-US"/>
        </w:rPr>
        <w:t>Benjamini</w:t>
      </w:r>
      <w:proofErr w:type="spellEnd"/>
      <w:r>
        <w:rPr>
          <w:rFonts w:cstheme="minorHAnsi"/>
          <w:lang w:val="en-US"/>
        </w:rPr>
        <w:t>-Hochberg False Discovery Rate (FDR), the Bonferroni correction, and the Dunn-</w:t>
      </w:r>
      <w:proofErr w:type="spellStart"/>
      <w:r>
        <w:rPr>
          <w:rFonts w:cstheme="minorHAnsi"/>
          <w:lang w:val="en-US"/>
        </w:rPr>
        <w:t>Sidak</w:t>
      </w:r>
      <w:proofErr w:type="spellEnd"/>
      <w:r>
        <w:rPr>
          <w:rFonts w:cstheme="minorHAnsi"/>
          <w:lang w:val="en-US"/>
        </w:rPr>
        <w:t xml:space="preserve"> correction.</w:t>
      </w:r>
      <w:r w:rsidR="004D2B96">
        <w:rPr>
          <w:rFonts w:cstheme="minorHAnsi"/>
          <w:lang w:val="en-US"/>
        </w:rPr>
        <w:t xml:space="preserve">  Only those differences which passed at least one of these corrections were considered truly significant.  As </w:t>
      </w:r>
      <w:r w:rsidR="005B4188">
        <w:rPr>
          <w:rFonts w:cstheme="minorHAnsi"/>
          <w:lang w:val="en-US"/>
        </w:rPr>
        <w:t>global</w:t>
      </w:r>
      <w:r w:rsidR="004D2B96">
        <w:rPr>
          <w:rFonts w:cstheme="minorHAnsi"/>
          <w:lang w:val="en-US"/>
        </w:rPr>
        <w:t xml:space="preserve"> statistics do not compare </w:t>
      </w:r>
      <w:proofErr w:type="gramStart"/>
      <w:r w:rsidR="004D2B96">
        <w:rPr>
          <w:rFonts w:cstheme="minorHAnsi"/>
          <w:lang w:val="en-US"/>
        </w:rPr>
        <w:t>individual</w:t>
      </w:r>
      <w:r w:rsidR="0087004F">
        <w:rPr>
          <w:rFonts w:cstheme="minorHAnsi"/>
          <w:lang w:val="en-US"/>
        </w:rPr>
        <w:t>s</w:t>
      </w:r>
      <w:proofErr w:type="gramEnd"/>
      <w:r w:rsidR="004D2B96">
        <w:rPr>
          <w:rFonts w:cstheme="minorHAnsi"/>
          <w:lang w:val="en-US"/>
        </w:rPr>
        <w:t xml:space="preserve"> multiple times, no multiple-comparison correction was judged necessary in these cases.</w:t>
      </w:r>
    </w:p>
    <w:p w14:paraId="6432AE2C" w14:textId="5989A019" w:rsidR="00B1027B" w:rsidRDefault="00207F43" w:rsidP="00034090">
      <w:pPr>
        <w:spacing w:line="360" w:lineRule="auto"/>
        <w:rPr>
          <w:rFonts w:cstheme="minorHAnsi"/>
          <w:lang w:val="en-US"/>
        </w:rPr>
      </w:pPr>
      <w:r>
        <w:rPr>
          <w:rFonts w:cstheme="minorHAnsi"/>
          <w:lang w:val="en-US"/>
        </w:rPr>
        <w:tab/>
        <w:t xml:space="preserve">It was </w:t>
      </w:r>
      <w:r w:rsidR="00180C1B">
        <w:rPr>
          <w:rFonts w:cstheme="minorHAnsi"/>
          <w:lang w:val="en-US"/>
        </w:rPr>
        <w:t>decided</w:t>
      </w:r>
      <w:r>
        <w:rPr>
          <w:rFonts w:cstheme="minorHAnsi"/>
          <w:lang w:val="en-US"/>
        </w:rPr>
        <w:t xml:space="preserve"> to </w:t>
      </w:r>
      <w:r w:rsidR="00B841E2">
        <w:rPr>
          <w:rFonts w:cstheme="minorHAnsi"/>
          <w:lang w:val="en-US"/>
        </w:rPr>
        <w:t>use the</w:t>
      </w:r>
      <w:r>
        <w:rPr>
          <w:rFonts w:cstheme="minorHAnsi"/>
          <w:lang w:val="en-US"/>
        </w:rPr>
        <w:t xml:space="preserve"> </w:t>
      </w:r>
      <w:r w:rsidR="0007527E">
        <w:rPr>
          <w:rFonts w:cstheme="minorHAnsi"/>
          <w:lang w:val="en-US"/>
        </w:rPr>
        <w:t>activity</w:t>
      </w:r>
      <w:r>
        <w:rPr>
          <w:rFonts w:cstheme="minorHAnsi"/>
          <w:lang w:val="en-US"/>
        </w:rPr>
        <w:t xml:space="preserve"> </w:t>
      </w:r>
      <w:r w:rsidR="00B841E2">
        <w:rPr>
          <w:rFonts w:cstheme="minorHAnsi"/>
          <w:lang w:val="en-US"/>
        </w:rPr>
        <w:t xml:space="preserve">distributions of the individual ICs as the primary metric of interest.  Of the thirteen assemblies extracted from the </w:t>
      </w:r>
      <w:r w:rsidR="005B4188">
        <w:rPr>
          <w:rFonts w:cstheme="minorHAnsi"/>
          <w:lang w:val="en-US"/>
        </w:rPr>
        <w:t xml:space="preserve">concatenated signal, twelve displayed significantly different activity distributions.  Of these twelve assemblies, all survived the </w:t>
      </w:r>
      <w:proofErr w:type="spellStart"/>
      <w:r w:rsidR="005B4188">
        <w:rPr>
          <w:rFonts w:cstheme="minorHAnsi"/>
          <w:lang w:val="en-US"/>
        </w:rPr>
        <w:t>Benjamini</w:t>
      </w:r>
      <w:proofErr w:type="spellEnd"/>
      <w:r w:rsidR="005B4188">
        <w:rPr>
          <w:rFonts w:cstheme="minorHAnsi"/>
          <w:lang w:val="en-US"/>
        </w:rPr>
        <w:t xml:space="preserve">-Hochberg FDR, and eight survived </w:t>
      </w:r>
      <w:r w:rsidR="00334057">
        <w:rPr>
          <w:rFonts w:cstheme="minorHAnsi"/>
          <w:lang w:val="en-US"/>
        </w:rPr>
        <w:t xml:space="preserve">both </w:t>
      </w:r>
      <w:r w:rsidR="005B4188">
        <w:rPr>
          <w:rFonts w:cstheme="minorHAnsi"/>
          <w:lang w:val="en-US"/>
        </w:rPr>
        <w:t>the Bonferroni</w:t>
      </w:r>
      <w:r w:rsidR="00334057">
        <w:rPr>
          <w:rFonts w:cstheme="minorHAnsi"/>
          <w:lang w:val="en-US"/>
        </w:rPr>
        <w:t xml:space="preserve"> and the Dunn-</w:t>
      </w:r>
      <w:proofErr w:type="spellStart"/>
      <w:r w:rsidR="00334057">
        <w:rPr>
          <w:rFonts w:cstheme="minorHAnsi"/>
          <w:lang w:val="en-US"/>
        </w:rPr>
        <w:t>Sidak</w:t>
      </w:r>
      <w:proofErr w:type="spellEnd"/>
      <w:r w:rsidR="00334057">
        <w:rPr>
          <w:rFonts w:cstheme="minorHAnsi"/>
          <w:lang w:val="en-US"/>
        </w:rPr>
        <w:t xml:space="preserve"> corrections.  We thus presume that these eight assemblies display </w:t>
      </w:r>
      <w:r w:rsidR="00CB40A7">
        <w:rPr>
          <w:rFonts w:cstheme="minorHAnsi"/>
          <w:lang w:val="en-US"/>
        </w:rPr>
        <w:t xml:space="preserve">strongly </w:t>
      </w:r>
      <w:r w:rsidR="00334057">
        <w:rPr>
          <w:rFonts w:cstheme="minorHAnsi"/>
          <w:lang w:val="en-US"/>
        </w:rPr>
        <w:t xml:space="preserve">significantly different activation distributions </w:t>
      </w:r>
      <w:r w:rsidR="00CB40A7">
        <w:rPr>
          <w:rFonts w:cstheme="minorHAnsi"/>
          <w:lang w:val="en-US"/>
        </w:rPr>
        <w:t>between conditions, and that the original twelve also display significant differences in their condition-wise activation distributions.</w:t>
      </w:r>
    </w:p>
    <w:p w14:paraId="6483BF26" w14:textId="77777777" w:rsidR="005B4188" w:rsidRDefault="005B4188" w:rsidP="00034090">
      <w:pPr>
        <w:spacing w:line="360" w:lineRule="auto"/>
        <w:rPr>
          <w:rFonts w:cstheme="minorHAnsi"/>
          <w:lang w:val="en-US"/>
        </w:rPr>
      </w:pPr>
    </w:p>
    <w:p w14:paraId="443A267D" w14:textId="22C3FE89" w:rsidR="00C1412F" w:rsidRPr="00334057" w:rsidRDefault="00BE6BDF" w:rsidP="00034090">
      <w:pPr>
        <w:spacing w:line="360" w:lineRule="auto"/>
        <w:rPr>
          <w:rFonts w:cstheme="minorHAnsi"/>
          <w:b/>
          <w:bCs/>
          <w:lang w:val="en-US"/>
        </w:rPr>
      </w:pPr>
      <w:r>
        <w:rPr>
          <w:rFonts w:cstheme="minorHAnsi"/>
          <w:b/>
          <w:bCs/>
          <w:lang w:val="en-US"/>
        </w:rPr>
        <w:t xml:space="preserve">II: </w:t>
      </w:r>
      <w:r w:rsidR="00C1412F" w:rsidRPr="00334057">
        <w:rPr>
          <w:rFonts w:cstheme="minorHAnsi"/>
          <w:b/>
          <w:bCs/>
          <w:lang w:val="en-US"/>
        </w:rPr>
        <w:t>Fitting</w:t>
      </w:r>
    </w:p>
    <w:p w14:paraId="3D5E4886" w14:textId="5A40B2A4" w:rsidR="00CB40A7" w:rsidRDefault="004F0721" w:rsidP="001D7423">
      <w:pPr>
        <w:spacing w:line="360" w:lineRule="auto"/>
        <w:ind w:firstLine="708"/>
        <w:rPr>
          <w:rFonts w:cstheme="minorHAnsi"/>
          <w:lang w:val="en-US"/>
        </w:rPr>
      </w:pPr>
      <w:r>
        <w:rPr>
          <w:rFonts w:cstheme="minorHAnsi"/>
          <w:lang w:val="en-US"/>
        </w:rPr>
        <w:t xml:space="preserve">The fitting stage of this study trains a dynamic model to replicate the activation distribution of each subject in the dataset.  Specifically, the model is defined as a network of normal supercritical </w:t>
      </w:r>
      <w:proofErr w:type="spellStart"/>
      <w:r>
        <w:rPr>
          <w:rFonts w:cstheme="minorHAnsi"/>
          <w:lang w:val="en-US"/>
        </w:rPr>
        <w:t>Hopf</w:t>
      </w:r>
      <w:proofErr w:type="spellEnd"/>
      <w:r>
        <w:rPr>
          <w:rFonts w:cstheme="minorHAnsi"/>
          <w:lang w:val="en-US"/>
        </w:rPr>
        <w:t xml:space="preserve"> bifurcations (also known as a Landau-Stuart oscillator)</w:t>
      </w:r>
      <w:r w:rsidR="005A4727">
        <w:rPr>
          <w:rFonts w:cstheme="minorHAnsi"/>
          <w:lang w:val="en-US"/>
        </w:rPr>
        <w:t xml:space="preserve">.  The </w:t>
      </w:r>
      <w:proofErr w:type="spellStart"/>
      <w:r w:rsidR="005A4727">
        <w:rPr>
          <w:rFonts w:cstheme="minorHAnsi"/>
          <w:lang w:val="en-US"/>
        </w:rPr>
        <w:t>Hopf</w:t>
      </w:r>
      <w:proofErr w:type="spellEnd"/>
      <w:r w:rsidR="005A4727">
        <w:rPr>
          <w:rFonts w:cstheme="minorHAnsi"/>
          <w:lang w:val="en-US"/>
        </w:rPr>
        <w:t xml:space="preserve"> oscillators form the nodes of this dynamic network model, and edges are defined </w:t>
      </w:r>
      <w:r w:rsidR="00973257">
        <w:rPr>
          <w:rFonts w:cstheme="minorHAnsi"/>
          <w:lang w:val="en-US"/>
        </w:rPr>
        <w:t xml:space="preserve">according to the brain structural connectivity.  This results in a dynamic network model which uses </w:t>
      </w:r>
      <w:proofErr w:type="spellStart"/>
      <w:r w:rsidR="00973257">
        <w:rPr>
          <w:rFonts w:cstheme="minorHAnsi"/>
          <w:lang w:val="en-US"/>
        </w:rPr>
        <w:t>Hopf</w:t>
      </w:r>
      <w:proofErr w:type="spellEnd"/>
      <w:r w:rsidR="00973257">
        <w:rPr>
          <w:rFonts w:cstheme="minorHAnsi"/>
          <w:lang w:val="en-US"/>
        </w:rPr>
        <w:t xml:space="preserve"> oscillators, connected in the same way as </w:t>
      </w:r>
      <w:r w:rsidR="00973257">
        <w:rPr>
          <w:rFonts w:cstheme="minorHAnsi"/>
          <w:lang w:val="en-US"/>
        </w:rPr>
        <w:lastRenderedPageBreak/>
        <w:t xml:space="preserve">real brain regions, simulate regional time series.  This is a well-established model in the Computational Neuroscience Group of the </w:t>
      </w:r>
      <w:proofErr w:type="spellStart"/>
      <w:r w:rsidR="00973257">
        <w:rPr>
          <w:rFonts w:cstheme="minorHAnsi"/>
          <w:lang w:val="en-US"/>
        </w:rPr>
        <w:t>Universitat</w:t>
      </w:r>
      <w:proofErr w:type="spellEnd"/>
      <w:r w:rsidR="00973257">
        <w:rPr>
          <w:rFonts w:cstheme="minorHAnsi"/>
          <w:lang w:val="en-US"/>
        </w:rPr>
        <w:t xml:space="preserve"> </w:t>
      </w:r>
      <w:proofErr w:type="spellStart"/>
      <w:r w:rsidR="00973257">
        <w:rPr>
          <w:rFonts w:cstheme="minorHAnsi"/>
          <w:lang w:val="en-US"/>
        </w:rPr>
        <w:t>Pompeu</w:t>
      </w:r>
      <w:proofErr w:type="spellEnd"/>
      <w:r w:rsidR="00973257">
        <w:rPr>
          <w:rFonts w:cstheme="minorHAnsi"/>
          <w:lang w:val="en-US"/>
        </w:rPr>
        <w:t xml:space="preserve"> </w:t>
      </w:r>
      <w:proofErr w:type="spellStart"/>
      <w:proofErr w:type="gramStart"/>
      <w:r w:rsidR="00973257">
        <w:rPr>
          <w:rFonts w:cstheme="minorHAnsi"/>
          <w:lang w:val="en-US"/>
        </w:rPr>
        <w:t>Fabra</w:t>
      </w:r>
      <w:proofErr w:type="spellEnd"/>
      <w:r w:rsidR="00973257">
        <w:rPr>
          <w:rFonts w:cstheme="minorHAnsi"/>
          <w:lang w:val="en-US"/>
        </w:rPr>
        <w:t>, and</w:t>
      </w:r>
      <w:proofErr w:type="gramEnd"/>
      <w:r w:rsidR="00973257">
        <w:rPr>
          <w:rFonts w:cstheme="minorHAnsi"/>
          <w:lang w:val="en-US"/>
        </w:rPr>
        <w:t xml:space="preserve"> has been described in a number of previous papers.</w:t>
      </w:r>
    </w:p>
    <w:p w14:paraId="394D57D9" w14:textId="5A73E205" w:rsidR="00C1412F" w:rsidRDefault="00BD2D17" w:rsidP="00987AF1">
      <w:pPr>
        <w:spacing w:line="360" w:lineRule="auto"/>
        <w:ind w:firstLine="708"/>
        <w:rPr>
          <w:rFonts w:cstheme="minorHAnsi"/>
          <w:lang w:val="en-US"/>
        </w:rPr>
      </w:pPr>
      <w:r>
        <w:rPr>
          <w:rFonts w:cstheme="minorHAnsi"/>
          <w:lang w:val="en-US"/>
        </w:rPr>
        <w:t xml:space="preserve">In previous studies, several parameters of the </w:t>
      </w:r>
      <w:proofErr w:type="spellStart"/>
      <w:r>
        <w:rPr>
          <w:rFonts w:cstheme="minorHAnsi"/>
          <w:lang w:val="en-US"/>
        </w:rPr>
        <w:t>Hopf</w:t>
      </w:r>
      <w:proofErr w:type="spellEnd"/>
      <w:r>
        <w:rPr>
          <w:rFonts w:cstheme="minorHAnsi"/>
          <w:lang w:val="en-US"/>
        </w:rPr>
        <w:t xml:space="preserve"> dynamic network model have been tuned in order to replicate specific characteristics of brain activity.  In this study, the </w:t>
      </w:r>
      <w:r w:rsidR="003D1D10">
        <w:rPr>
          <w:rFonts w:cstheme="minorHAnsi"/>
          <w:lang w:val="en-US"/>
        </w:rPr>
        <w:t xml:space="preserve">model’s individual connection weights were tuned </w:t>
      </w:r>
      <w:r>
        <w:rPr>
          <w:rFonts w:cstheme="minorHAnsi"/>
          <w:lang w:val="en-US"/>
        </w:rPr>
        <w:t xml:space="preserve">to best replicate the </w:t>
      </w:r>
      <w:r w:rsidR="003D1D10">
        <w:rPr>
          <w:rFonts w:cstheme="minorHAnsi"/>
          <w:lang w:val="en-US"/>
        </w:rPr>
        <w:t>temporal activation distributions of the independent components extracted in the LEICA protocol</w:t>
      </w:r>
      <w:r w:rsidR="00BE6BDF">
        <w:rPr>
          <w:rFonts w:cstheme="minorHAnsi"/>
          <w:lang w:val="en-US"/>
        </w:rPr>
        <w:t xml:space="preserve"> (Section II.1).</w:t>
      </w:r>
      <w:r w:rsidR="00987AF1">
        <w:rPr>
          <w:rFonts w:cstheme="minorHAnsi"/>
          <w:lang w:val="en-US"/>
        </w:rPr>
        <w:t xml:space="preserve">  Tuning was </w:t>
      </w:r>
      <w:r w:rsidR="00C6182B">
        <w:rPr>
          <w:rFonts w:cstheme="minorHAnsi"/>
          <w:lang w:val="en-US"/>
        </w:rPr>
        <w:t>achieved</w:t>
      </w:r>
      <w:r w:rsidR="00987AF1">
        <w:rPr>
          <w:rFonts w:cstheme="minorHAnsi"/>
          <w:lang w:val="en-US"/>
        </w:rPr>
        <w:t xml:space="preserve"> </w:t>
      </w:r>
      <w:r w:rsidR="00C6182B">
        <w:rPr>
          <w:rFonts w:cstheme="minorHAnsi"/>
          <w:lang w:val="en-US"/>
        </w:rPr>
        <w:t>with</w:t>
      </w:r>
      <w:r w:rsidR="00987AF1">
        <w:rPr>
          <w:rFonts w:cstheme="minorHAnsi"/>
          <w:lang w:val="en-US"/>
        </w:rPr>
        <w:t xml:space="preserve"> the </w:t>
      </w:r>
      <w:r w:rsidR="006148AD">
        <w:rPr>
          <w:rFonts w:cstheme="minorHAnsi"/>
          <w:lang w:val="en-US"/>
        </w:rPr>
        <w:t xml:space="preserve">particle swarm algorithm of </w:t>
      </w:r>
      <w:r w:rsidR="00C6182B">
        <w:rPr>
          <w:rFonts w:cstheme="minorHAnsi"/>
          <w:lang w:val="en-US"/>
        </w:rPr>
        <w:t xml:space="preserve">Kennedy and Eberhart </w:t>
      </w:r>
      <w:r w:rsidR="00C6182B">
        <w:rPr>
          <w:rFonts w:cstheme="minorHAnsi"/>
          <w:lang w:val="en-US"/>
        </w:rPr>
        <w:fldChar w:fldCharType="begin" w:fldLock="1"/>
      </w:r>
      <w:r w:rsidR="00C6182B">
        <w:rPr>
          <w:rFonts w:cstheme="minorHAnsi"/>
          <w:lang w:val="en-US"/>
        </w:rPr>
        <w:instrText>ADDIN CSL_CITATION {"citationItems":[{"id":"ITEM-1","itemData":{"DOI":"10.1109/ICNN.1995.488968","ISBN":"0780327683","ISSN":"19353812","PMID":"20371407","abstract":"A concept for the optimization of nonlinear functions using particle\\nswarm methodology is introduced. The evolution of several paradigms\\nis outlined, and an implementation of one of the paradigms is discussed.\\nBenchmark testing of the paradigm is described, and applications,\\nincluding nonlinear function optimization and neural network training,\\nare proposed. The relationships between particle swarm optimization\\nand both artificial life and genetic algorithms are described.","author":[{"dropping-particle":"","family":"Kennedy","given":"James","non-dropping-particle":"","parse-names":false,"suffix":""},{"dropping-particle":"","family":"Eberhart","given":"Russell","non-dropping-particle":"","parse-names":false,"suffix":""}],"container-title":"Neural Networks","id":"ITEM-1","issued":{"date-parts":[["1995"]]},"title":"Particle Swarm Optimization, Proceedings of IEEE International Conference on Neural Networks Vol. IV: 1942–1948.","type":"webpage"},"uris":["http://www.mendeley.com/documents/?uuid=7150613c-4ce6-450a-ba1c-b9243e9504ea"]},{"id":"ITEM-2","itemData":{"DOI":"10.1109/WCICA.2008.4592994","ISBN":"9781424445240","ISSN":"13488155","abstract":"Particle Swarm Optimization (PSO) is a powerful evolutionary computational algorithm based on the social behavior of swarm of bees in the nature that is used to search for global extremes in complex multi-dimensional optimization problems. The PSO algorithm is easy to implement, use and adapt to any multi-parameter problems. It has been shown that in certain instances PSO outperforms other methods of global optimization like genetic algorithms 1. In evolutionary computation one uses the principles developed by living organisms in the process of evolution via adaptation to the external environment. For instance, the PSO imitates a swarm of bees tracing the unknown field in a search for the location of the most flowers density. The bees start moving in random directions and with random velocities. During the search, each bee communicates with other bees in order to correlate its movement, i.e. at each step the speed and direction is determined based on the personal experience and information obtained from other bees about the area of highest concentration of flowers found by any other bees of the swarm. In such a way all the bees are approaching to the area with highest flower density following its own path and testing the flower density along its trajectory. If a new area with highest density is found, a new center of attraction for all bees appears. Proposed by Eberhart and Kennedy in 1995 2, the PSO method has attracted attention of researcher working in many fields including electromagnetics where it has been successfully applied for a synthesis of antennas and other components for mm and sub-mm wave applications 3. The aim of research was to develop a numerical algorithm capable of performing a fast and reliable search for global maxima of multi-parameter function. The algorithm has been developed based on PSO principles. The code was written in Fortran 90 and organized in the way suitable for easy integration with other algorithms to enable its further application for synthesis of various electromagnetics components. Working-capacity of the algorithm was examined for several multi-parameter test-functions. Different boundary conditions have been implemented and the optimal values for the coefficient in the formula for the speed-vector of each agent (bee) have been experimentally determined. During presentation, the basics of the method and algorithm will be presented together with the results of numerical optimization for test functions. 1 J. Kenned…","author":[{"dropping-particle":"","family":"Wilke","given":"Daniel N","non-dropping-particle":"","parse-names":false,"suffix":""}],"container-title":"Thesis","id":"ITEM-2","issued":{"date-parts":[["2005"]]},"title":"Analysis of the particle swarm optimization algorithm by","type":"thesis"},"uris":["http://www.mendeley.com/documents/?uuid=9693fc3b-dea1-4382-a3ba-3f2b1e17beaa"]},{"id":"ITEM-3","itemData":{"DOI":"10.1016/j.swevo.2011.10.001","ISBN":"2210-6502","ISSN":"22106502","abstract":"In their original versions, nature-inspired search algorithms such as evolutionary algorithms and those based on swarm intelligence, lack a mechanism to deal with the constraints of a numerical optimization problem. Nowadays, however, there exists a considerable amount of research devoted to design techniques for handling constraints within a nature-inspired algorithm. This paper presents an analysis of the most relevant types of constraint-handling techniques that have been adopted with nature-inspired algorithms. From them, the most popular approaches are analyzed in more detail. For each of them, some representative instantiations are further discussed. In the last part of the paper, some of the future trends in the area, which have been only scarcely explored, are briefly discussed and then the conclusions of this paper are presented. © 2011 Elsevier B.V. All rights reserved.","author":[{"dropping-particle":"","family":"Mezura","given":"Efrén","non-dropping-particle":"","parse-names":false,"suffix":""},{"dropping-particle":"","family":"Coello","given":"Carlos","non-dropping-particle":"","parse-names":false,"suffix":""}],"container-title":"Swarm and Evolutionary Computation","id":"ITEM-3","issue":"4","issued":{"date-parts":[["2011"]]},"page":"173-194","title":"Constraint-handling in nature-inspired numerical optimization: Past, present and future","type":"article-journal","volume":"1"},"uris":["http://www.mendeley.com/documents/?uuid=1c49e301-da00-4ac1-b7e9-bfd5b558044c"]},{"id":"ITEM-4","itemData":{"abstract":"The general purpose optimization method known as Particle Swarm Optimization (PSO) has a number of parameters that determine its be- haviour and eﬃcacy in optimizing a given problem. This paper gives a list of good choices of parameters for various optimization scenarios which should help the practitioner achieve better results with little eﬀort.","author":[{"dropping-particle":"","family":"Erik","given":"Magnus","non-dropping-particle":"","parse-names":false,"suffix":""},{"dropping-particle":"","family":"Pedersen","given":"Hvass","non-dropping-particle":"","parse-names":false,"suffix":""},{"dropping-particle":"","family":"Pedersen","given":"Magnus Erik Hvass","non-dropping-particle":"","parse-names":false,"suffix":""}],"container-title":"Technical Report HL1001, Hvass Laboratories","id":"ITEM-4","issued":{"date-parts":[["2010"]]},"page":"1-12","title":"Good parameters for particle swarm optimization","type":"article-journal","volume":"HL1001"},"uris":["http://www.mendeley.com/documents/?uuid=73efa479-abe8-4203-a419-76b01986dc96"]}],"mendeley":{"formattedCitation":"(Kennedy and Eberhart 1995; Wilke 2005; Mezura and Coello 2011; Erik, Pedersen, and Pedersen 2010)","plainTextFormattedCitation":"(Kennedy and Eberhart 1995; Wilke 2005; Mezura and Coello 2011; Erik, Pedersen, and Pedersen 2010)","previouslyFormattedCitation":"(Kennedy and Eberhart 1995; Wilke 2005)"},"properties":{"noteIndex":0},"schema":"https://github.com/citation-style-language/schema/raw/master/csl-citation.json"}</w:instrText>
      </w:r>
      <w:r w:rsidR="00C6182B">
        <w:rPr>
          <w:rFonts w:cstheme="minorHAnsi"/>
          <w:lang w:val="en-US"/>
        </w:rPr>
        <w:fldChar w:fldCharType="separate"/>
      </w:r>
      <w:r w:rsidR="00C6182B" w:rsidRPr="00C6182B">
        <w:rPr>
          <w:rFonts w:cstheme="minorHAnsi"/>
          <w:noProof/>
          <w:lang w:val="en-US"/>
        </w:rPr>
        <w:t>(Kennedy and Eberhart 1995; Wilke 2005; Mezura and Coello 2011; Erik, Pedersen, and Pedersen 2010)</w:t>
      </w:r>
      <w:r w:rsidR="00C6182B">
        <w:rPr>
          <w:rFonts w:cstheme="minorHAnsi"/>
          <w:lang w:val="en-US"/>
        </w:rPr>
        <w:fldChar w:fldCharType="end"/>
      </w:r>
      <w:r w:rsidR="000F2181">
        <w:rPr>
          <w:rFonts w:cstheme="minorHAnsi"/>
          <w:lang w:val="en-US"/>
        </w:rPr>
        <w:t>.  T</w:t>
      </w:r>
      <w:r w:rsidR="00C6182B">
        <w:rPr>
          <w:rFonts w:cstheme="minorHAnsi"/>
          <w:lang w:val="en-US"/>
        </w:rPr>
        <w:t xml:space="preserve">he Kolmogorov-Smirnov test statistic </w:t>
      </w:r>
      <w:r w:rsidR="000F2181">
        <w:rPr>
          <w:rFonts w:cstheme="minorHAnsi"/>
          <w:lang w:val="en-US"/>
        </w:rPr>
        <w:t xml:space="preserve">is used </w:t>
      </w:r>
      <w:r w:rsidR="00C6182B">
        <w:rPr>
          <w:rFonts w:cstheme="minorHAnsi"/>
          <w:lang w:val="en-US"/>
        </w:rPr>
        <w:t>as a cost function</w:t>
      </w:r>
      <w:r w:rsidR="000F2181">
        <w:rPr>
          <w:rFonts w:cstheme="minorHAnsi"/>
          <w:lang w:val="en-US"/>
        </w:rPr>
        <w:t>, with the goal of the optimization being to minimize this value</w:t>
      </w:r>
      <w:r w:rsidR="00C6182B">
        <w:rPr>
          <w:rFonts w:cstheme="minorHAnsi"/>
          <w:lang w:val="en-US"/>
        </w:rPr>
        <w:t>.</w:t>
      </w:r>
      <w:r w:rsidR="00FE5F2B">
        <w:rPr>
          <w:rFonts w:cstheme="minorHAnsi"/>
          <w:lang w:val="en-US"/>
        </w:rPr>
        <w:t xml:space="preserve">  The result of this optimization is an estimate of the effective connectivity matrix for a single subject.  This optimization is then repeated for each subject, with each effective connectivity </w:t>
      </w:r>
      <w:r w:rsidR="0083785B">
        <w:rPr>
          <w:rFonts w:cstheme="minorHAnsi"/>
          <w:lang w:val="en-US"/>
        </w:rPr>
        <w:t xml:space="preserve">matrix </w:t>
      </w:r>
      <w:r w:rsidR="00FE5F2B">
        <w:rPr>
          <w:rFonts w:cstheme="minorHAnsi"/>
          <w:lang w:val="en-US"/>
        </w:rPr>
        <w:t>indexed according to condition and subject.</w:t>
      </w:r>
    </w:p>
    <w:p w14:paraId="3F833779" w14:textId="27F4008A" w:rsidR="009B22F3" w:rsidRDefault="009B22F3" w:rsidP="00034090">
      <w:pPr>
        <w:spacing w:line="360" w:lineRule="auto"/>
        <w:rPr>
          <w:rFonts w:cstheme="minorHAnsi"/>
          <w:lang w:val="en-US"/>
        </w:rPr>
      </w:pPr>
    </w:p>
    <w:p w14:paraId="587DD33E" w14:textId="62B22D01" w:rsidR="00D71447" w:rsidRPr="002B20F2" w:rsidRDefault="00B87342" w:rsidP="002B20F2">
      <w:pPr>
        <w:spacing w:line="360" w:lineRule="auto"/>
        <w:rPr>
          <w:rFonts w:cstheme="minorHAnsi"/>
          <w:b/>
          <w:bCs/>
          <w:lang w:val="en-US"/>
        </w:rPr>
      </w:pPr>
      <w:r>
        <w:rPr>
          <w:rFonts w:cstheme="minorHAnsi"/>
          <w:b/>
          <w:bCs/>
          <w:lang w:val="en-US"/>
        </w:rPr>
        <w:t xml:space="preserve">III: </w:t>
      </w:r>
      <w:r w:rsidR="009B22F3" w:rsidRPr="00334057">
        <w:rPr>
          <w:rFonts w:cstheme="minorHAnsi"/>
          <w:b/>
          <w:bCs/>
          <w:lang w:val="en-US"/>
        </w:rPr>
        <w:t>Network Analysis</w:t>
      </w:r>
    </w:p>
    <w:p w14:paraId="0EC7699A" w14:textId="77777777" w:rsidR="002C75A4" w:rsidRDefault="009B22F3" w:rsidP="00BF3551">
      <w:pPr>
        <w:spacing w:line="360" w:lineRule="auto"/>
        <w:ind w:firstLine="708"/>
        <w:rPr>
          <w:rFonts w:cstheme="minorHAnsi"/>
          <w:lang w:val="en-US"/>
        </w:rPr>
      </w:pPr>
      <w:r>
        <w:rPr>
          <w:rFonts w:cstheme="minorHAnsi"/>
          <w:lang w:val="en-US"/>
        </w:rPr>
        <w:t>Differences in the network structure were extracted using the network-based statistic</w:t>
      </w:r>
      <w:r w:rsidR="0083785B">
        <w:rPr>
          <w:rFonts w:cstheme="minorHAnsi"/>
          <w:lang w:val="en-US"/>
        </w:rPr>
        <w:t xml:space="preserve"> (NBS)</w:t>
      </w:r>
      <w:r w:rsidR="00BF2FB1">
        <w:rPr>
          <w:rFonts w:cstheme="minorHAnsi"/>
          <w:lang w:val="en-US"/>
        </w:rPr>
        <w:t xml:space="preserve">.  </w:t>
      </w:r>
      <w:r w:rsidR="0083785B">
        <w:rPr>
          <w:rFonts w:cstheme="minorHAnsi"/>
          <w:lang w:val="en-US"/>
        </w:rPr>
        <w:t xml:space="preserve">The general linear model (GLM) of the NBS was initialized with a </w:t>
      </w:r>
      <w:r w:rsidR="002C75A4">
        <w:rPr>
          <w:rFonts w:cstheme="minorHAnsi"/>
          <w:lang w:val="en-US"/>
        </w:rPr>
        <w:t>three-column design matrix of 79 rows.  The first column provides the GLM with an intercept term, while the second and third columns serve to index to which group each subject belongs.  Accordingly, the contrast vector was set to [0, 1, -1], with the zero serving to remove the intercept term from analysis and the [1, -1] serving to test the size of the difference between control and patient populations.</w:t>
      </w:r>
    </w:p>
    <w:p w14:paraId="23E320BF" w14:textId="77777777" w:rsidR="00973866" w:rsidRDefault="002C75A4" w:rsidP="00973866">
      <w:pPr>
        <w:spacing w:line="360" w:lineRule="auto"/>
        <w:ind w:firstLine="708"/>
        <w:rPr>
          <w:rFonts w:cstheme="minorHAnsi"/>
          <w:lang w:val="en-US"/>
        </w:rPr>
      </w:pPr>
      <w:r>
        <w:rPr>
          <w:rFonts w:cstheme="minorHAnsi"/>
          <w:lang w:val="en-US"/>
        </w:rPr>
        <w:t xml:space="preserve">Upon setting the contrasts for the GLM, </w:t>
      </w:r>
      <w:r w:rsidR="009B245A">
        <w:rPr>
          <w:rFonts w:cstheme="minorHAnsi"/>
          <w:lang w:val="en-US"/>
        </w:rPr>
        <w:t xml:space="preserve">the statistical test, </w:t>
      </w:r>
      <w:r w:rsidR="003F2146">
        <w:rPr>
          <w:rFonts w:cstheme="minorHAnsi"/>
          <w:lang w:val="en-US"/>
        </w:rPr>
        <w:t>effect</w:t>
      </w:r>
      <w:r w:rsidR="009B245A">
        <w:rPr>
          <w:rFonts w:cstheme="minorHAnsi"/>
          <w:lang w:val="en-US"/>
        </w:rPr>
        <w:t xml:space="preserve"> type</w:t>
      </w:r>
      <w:r w:rsidR="003F2146">
        <w:rPr>
          <w:rFonts w:cstheme="minorHAnsi"/>
          <w:lang w:val="en-US"/>
        </w:rPr>
        <w:t>,</w:t>
      </w:r>
      <w:r w:rsidR="009B245A">
        <w:rPr>
          <w:rFonts w:cstheme="minorHAnsi"/>
          <w:lang w:val="en-US"/>
        </w:rPr>
        <w:t xml:space="preserve"> and</w:t>
      </w:r>
      <w:r w:rsidR="003F2146">
        <w:rPr>
          <w:rFonts w:cstheme="minorHAnsi"/>
          <w:lang w:val="en-US"/>
        </w:rPr>
        <w:t xml:space="preserve"> effect size had to be set.  </w:t>
      </w:r>
      <w:r w:rsidR="009B245A">
        <w:rPr>
          <w:rFonts w:cstheme="minorHAnsi"/>
          <w:lang w:val="en-US"/>
        </w:rPr>
        <w:t xml:space="preserve">The NBS </w:t>
      </w:r>
      <w:r w:rsidR="00973744">
        <w:rPr>
          <w:rFonts w:cstheme="minorHAnsi"/>
          <w:lang w:val="en-US"/>
        </w:rPr>
        <w:t xml:space="preserve">supports two statistical tests: a standard Student’s </w:t>
      </w:r>
      <w:r w:rsidR="00973744">
        <w:rPr>
          <w:rFonts w:cstheme="minorHAnsi"/>
          <w:i/>
          <w:iCs/>
          <w:lang w:val="en-US"/>
        </w:rPr>
        <w:t>t</w:t>
      </w:r>
      <w:r w:rsidR="00973744">
        <w:rPr>
          <w:rFonts w:cstheme="minorHAnsi"/>
          <w:lang w:val="en-US"/>
        </w:rPr>
        <w:t xml:space="preserve">-test, and a Fisher’s </w:t>
      </w:r>
      <w:r w:rsidR="00973744">
        <w:rPr>
          <w:rFonts w:cstheme="minorHAnsi"/>
          <w:i/>
          <w:iCs/>
          <w:lang w:val="en-US"/>
        </w:rPr>
        <w:t>F</w:t>
      </w:r>
      <w:r w:rsidR="00973744">
        <w:rPr>
          <w:rFonts w:cstheme="minorHAnsi"/>
          <w:lang w:val="en-US"/>
        </w:rPr>
        <w:t>-test.</w:t>
      </w:r>
      <w:r w:rsidR="009B245A">
        <w:rPr>
          <w:rFonts w:cstheme="minorHAnsi"/>
          <w:lang w:val="en-US"/>
        </w:rPr>
        <w:t xml:space="preserve">  The selected test is applied to each connection in the connectivity array in order to generate connection-wise test statistics.</w:t>
      </w:r>
      <w:r w:rsidR="00C560A0">
        <w:rPr>
          <w:rFonts w:cstheme="minorHAnsi"/>
          <w:lang w:val="en-US"/>
        </w:rPr>
        <w:t xml:space="preserve">  A threshold is then applied to this test statistic matrix in order to </w:t>
      </w:r>
      <w:r w:rsidR="00E91D88">
        <w:rPr>
          <w:rFonts w:cstheme="minorHAnsi"/>
          <w:lang w:val="en-US"/>
        </w:rPr>
        <w:t>locate subnetworks with statistically significant group-level differences</w:t>
      </w:r>
      <w:r w:rsidR="00C560A0">
        <w:rPr>
          <w:rFonts w:cstheme="minorHAnsi"/>
          <w:lang w:val="en-US"/>
        </w:rPr>
        <w:t>.</w:t>
      </w:r>
      <w:r w:rsidR="00973866">
        <w:rPr>
          <w:rFonts w:cstheme="minorHAnsi"/>
          <w:lang w:val="en-US"/>
        </w:rPr>
        <w:t xml:space="preserve">  These subnetworks may then be tested for significance using two </w:t>
      </w:r>
      <w:r w:rsidR="00711025">
        <w:rPr>
          <w:rFonts w:cstheme="minorHAnsi"/>
          <w:lang w:val="en-US"/>
        </w:rPr>
        <w:t xml:space="preserve">effect types: </w:t>
      </w:r>
      <w:r w:rsidR="00973866">
        <w:rPr>
          <w:rFonts w:cstheme="minorHAnsi"/>
          <w:lang w:val="en-US"/>
        </w:rPr>
        <w:t xml:space="preserve">intensity or </w:t>
      </w:r>
      <w:r w:rsidR="00711025">
        <w:rPr>
          <w:rFonts w:cstheme="minorHAnsi"/>
          <w:lang w:val="en-US"/>
        </w:rPr>
        <w:t xml:space="preserve">extent.  Testing for extent </w:t>
      </w:r>
      <w:r w:rsidR="00711025">
        <w:rPr>
          <w:rFonts w:cstheme="minorHAnsi"/>
          <w:lang w:val="en-US"/>
        </w:rPr>
        <w:lastRenderedPageBreak/>
        <w:t xml:space="preserve">emphasizes </w:t>
      </w:r>
      <w:r w:rsidR="00973744">
        <w:rPr>
          <w:rFonts w:cstheme="minorHAnsi"/>
          <w:lang w:val="en-US"/>
        </w:rPr>
        <w:t>effects with a distributed signature in the network topology, whereas testing for intensity emphasizes effects with maximal contrast between conditions.</w:t>
      </w:r>
    </w:p>
    <w:p w14:paraId="6849A011" w14:textId="77777777" w:rsidR="002B20F2" w:rsidRDefault="00711025" w:rsidP="002B20F2">
      <w:pPr>
        <w:spacing w:line="360" w:lineRule="auto"/>
        <w:ind w:firstLine="708"/>
        <w:rPr>
          <w:rFonts w:cstheme="minorHAnsi"/>
          <w:lang w:val="en-US"/>
        </w:rPr>
      </w:pPr>
      <w:r>
        <w:rPr>
          <w:rFonts w:cstheme="minorHAnsi"/>
          <w:lang w:val="en-US"/>
        </w:rPr>
        <w:t xml:space="preserve">As the effect distribution was not known, both </w:t>
      </w:r>
      <w:r w:rsidR="00973866">
        <w:rPr>
          <w:rFonts w:cstheme="minorHAnsi"/>
          <w:lang w:val="en-US"/>
        </w:rPr>
        <w:t xml:space="preserve">the </w:t>
      </w:r>
      <w:r w:rsidR="00973866" w:rsidRPr="00973866">
        <w:rPr>
          <w:rFonts w:cstheme="minorHAnsi"/>
          <w:i/>
          <w:iCs/>
          <w:lang w:val="en-US"/>
        </w:rPr>
        <w:t>t</w:t>
      </w:r>
      <w:r w:rsidR="00973866">
        <w:rPr>
          <w:rFonts w:cstheme="minorHAnsi"/>
          <w:lang w:val="en-US"/>
        </w:rPr>
        <w:t xml:space="preserve">-test and the </w:t>
      </w:r>
      <w:r w:rsidR="00973866" w:rsidRPr="00973866">
        <w:rPr>
          <w:rFonts w:cstheme="minorHAnsi"/>
          <w:i/>
          <w:iCs/>
          <w:lang w:val="en-US"/>
        </w:rPr>
        <w:t>F</w:t>
      </w:r>
      <w:r w:rsidR="00973866">
        <w:rPr>
          <w:rFonts w:cstheme="minorHAnsi"/>
          <w:lang w:val="en-US"/>
        </w:rPr>
        <w:t xml:space="preserve">-test </w:t>
      </w:r>
      <w:r>
        <w:rPr>
          <w:rFonts w:cstheme="minorHAnsi"/>
          <w:lang w:val="en-US"/>
        </w:rPr>
        <w:t xml:space="preserve">were utilized in </w:t>
      </w:r>
      <w:r w:rsidR="00973866">
        <w:rPr>
          <w:rFonts w:cstheme="minorHAnsi"/>
          <w:lang w:val="en-US"/>
        </w:rPr>
        <w:t xml:space="preserve">parallel.  Thresholds of both statistics were varied </w:t>
      </w:r>
      <w:r w:rsidR="004056CE">
        <w:rPr>
          <w:rFonts w:cstheme="minorHAnsi"/>
          <w:lang w:val="en-US"/>
        </w:rPr>
        <w:t>over</w:t>
      </w:r>
      <w:r w:rsidR="00973866">
        <w:rPr>
          <w:rFonts w:cstheme="minorHAnsi"/>
          <w:lang w:val="en-US"/>
        </w:rPr>
        <w:t xml:space="preserve"> the</w:t>
      </w:r>
      <w:r w:rsidR="004056CE">
        <w:rPr>
          <w:rFonts w:cstheme="minorHAnsi"/>
          <w:lang w:val="en-US"/>
        </w:rPr>
        <w:t xml:space="preserve"> range of 0</w:t>
      </w:r>
      <w:r w:rsidR="00CB40A7">
        <w:rPr>
          <w:rFonts w:cstheme="minorHAnsi"/>
          <w:lang w:val="en-US"/>
        </w:rPr>
        <w:t>.5</w:t>
      </w:r>
      <w:r w:rsidR="004056CE">
        <w:rPr>
          <w:rFonts w:cstheme="minorHAnsi"/>
          <w:lang w:val="en-US"/>
        </w:rPr>
        <w:t xml:space="preserve"> to 4.0 in intervals of 0.</w:t>
      </w:r>
      <w:r w:rsidR="00973866">
        <w:rPr>
          <w:rFonts w:cstheme="minorHAnsi"/>
          <w:lang w:val="en-US"/>
        </w:rPr>
        <w:t>5 in order to thoroughly test for significant differences, and both the extent and intensity of cluster effects w</w:t>
      </w:r>
      <w:r w:rsidR="004C4ADD">
        <w:rPr>
          <w:rFonts w:cstheme="minorHAnsi"/>
          <w:lang w:val="en-US"/>
        </w:rPr>
        <w:t xml:space="preserve">ere examined.  This resulted in a [2 </w:t>
      </w:r>
      <w:r w:rsidR="004C4ADD">
        <w:rPr>
          <w:rFonts w:ascii="Calibri" w:hAnsi="Calibri" w:cs="Calibri"/>
          <w:lang w:val="en-US"/>
        </w:rPr>
        <w:t>×</w:t>
      </w:r>
      <w:r w:rsidR="004C4ADD">
        <w:rPr>
          <w:rFonts w:cstheme="minorHAnsi"/>
          <w:lang w:val="en-US"/>
        </w:rPr>
        <w:t xml:space="preserve"> 2 </w:t>
      </w:r>
      <w:r w:rsidR="004C4ADD">
        <w:rPr>
          <w:rFonts w:ascii="Calibri" w:hAnsi="Calibri" w:cs="Calibri"/>
          <w:lang w:val="en-US"/>
        </w:rPr>
        <w:t>×</w:t>
      </w:r>
      <w:r w:rsidR="004C4ADD">
        <w:rPr>
          <w:rFonts w:cstheme="minorHAnsi"/>
          <w:lang w:val="en-US"/>
        </w:rPr>
        <w:t xml:space="preserve"> 8] array of results, in which each cell corresponds to a specific combination of tests.  No combination displayed significant differences between conditions.</w:t>
      </w:r>
    </w:p>
    <w:p w14:paraId="579DE345" w14:textId="77777777" w:rsidR="002B20F2" w:rsidRDefault="002B20F2" w:rsidP="002B20F2">
      <w:pPr>
        <w:spacing w:line="360" w:lineRule="auto"/>
        <w:ind w:firstLine="708"/>
        <w:rPr>
          <w:rFonts w:cstheme="minorHAnsi"/>
          <w:lang w:val="en-US"/>
        </w:rPr>
      </w:pPr>
    </w:p>
    <w:p w14:paraId="4D6B7669" w14:textId="61B90F64" w:rsidR="002C7410" w:rsidRPr="002D30E9" w:rsidRDefault="00A10AF3" w:rsidP="002C7410">
      <w:pPr>
        <w:spacing w:line="360" w:lineRule="auto"/>
        <w:rPr>
          <w:rFonts w:cstheme="minorHAnsi"/>
          <w:b/>
          <w:bCs/>
          <w:sz w:val="26"/>
          <w:szCs w:val="26"/>
          <w:lang w:val="en-US"/>
        </w:rPr>
      </w:pPr>
      <w:r>
        <w:rPr>
          <w:rFonts w:cstheme="minorHAnsi"/>
          <w:lang w:val="en-US"/>
        </w:rPr>
        <w:t>Upon confirmation of the failure of the network-based statistic to detect significant differences in the effective connectivity between groups, the</w:t>
      </w:r>
      <w:r w:rsidR="00BF2FB1">
        <w:rPr>
          <w:rFonts w:cstheme="minorHAnsi"/>
          <w:lang w:val="en-US"/>
        </w:rPr>
        <w:t xml:space="preserve"> node-wise </w:t>
      </w:r>
      <w:r>
        <w:rPr>
          <w:rFonts w:cstheme="minorHAnsi"/>
          <w:lang w:val="en-US"/>
        </w:rPr>
        <w:t>in-</w:t>
      </w:r>
      <w:r w:rsidR="009877CA">
        <w:rPr>
          <w:rFonts w:cstheme="minorHAnsi"/>
          <w:lang w:val="en-US"/>
        </w:rPr>
        <w:t>strength</w:t>
      </w:r>
      <w:r w:rsidR="00BF2FB1">
        <w:rPr>
          <w:rFonts w:cstheme="minorHAnsi"/>
          <w:lang w:val="en-US"/>
        </w:rPr>
        <w:t xml:space="preserve"> and </w:t>
      </w:r>
      <w:r>
        <w:rPr>
          <w:rFonts w:cstheme="minorHAnsi"/>
          <w:lang w:val="en-US"/>
        </w:rPr>
        <w:t>out-</w:t>
      </w:r>
      <w:r w:rsidR="009877CA">
        <w:rPr>
          <w:rFonts w:cstheme="minorHAnsi"/>
          <w:lang w:val="en-US"/>
        </w:rPr>
        <w:t>strength</w:t>
      </w:r>
      <w:r>
        <w:rPr>
          <w:rFonts w:cstheme="minorHAnsi"/>
          <w:lang w:val="en-US"/>
        </w:rPr>
        <w:t xml:space="preserve"> </w:t>
      </w:r>
      <w:r w:rsidR="004921A2">
        <w:rPr>
          <w:rFonts w:cstheme="minorHAnsi"/>
          <w:lang w:val="en-US"/>
        </w:rPr>
        <w:t xml:space="preserve">were computed for each subject.  </w:t>
      </w:r>
      <w:r>
        <w:rPr>
          <w:rFonts w:cstheme="minorHAnsi"/>
          <w:lang w:val="en-US"/>
        </w:rPr>
        <w:t>In addition, the</w:t>
      </w:r>
      <w:r w:rsidR="006924F5">
        <w:rPr>
          <w:rFonts w:cstheme="minorHAnsi"/>
          <w:lang w:val="en-US"/>
        </w:rPr>
        <w:t xml:space="preserve"> density</w:t>
      </w:r>
      <w:r w:rsidR="004921A2">
        <w:rPr>
          <w:rFonts w:cstheme="minorHAnsi"/>
          <w:lang w:val="en-US"/>
        </w:rPr>
        <w:t xml:space="preserve"> of each subject was computed.  These distributions were then tested for </w:t>
      </w:r>
      <w:r w:rsidR="00642E72">
        <w:rPr>
          <w:rFonts w:cstheme="minorHAnsi"/>
          <w:lang w:val="en-US"/>
        </w:rPr>
        <w:t xml:space="preserve">significant group-level differences.  No significant </w:t>
      </w:r>
      <w:r w:rsidR="00B146D3">
        <w:rPr>
          <w:rFonts w:cstheme="minorHAnsi"/>
          <w:lang w:val="en-US"/>
        </w:rPr>
        <w:t xml:space="preserve">group-level </w:t>
      </w:r>
      <w:r w:rsidR="00642E72">
        <w:rPr>
          <w:rFonts w:cstheme="minorHAnsi"/>
          <w:lang w:val="en-US"/>
        </w:rPr>
        <w:t>difference</w:t>
      </w:r>
      <w:r w:rsidR="00B146D3">
        <w:rPr>
          <w:rFonts w:cstheme="minorHAnsi"/>
          <w:lang w:val="en-US"/>
        </w:rPr>
        <w:t>s</w:t>
      </w:r>
      <w:r w:rsidR="00642E72">
        <w:rPr>
          <w:rFonts w:cstheme="minorHAnsi"/>
          <w:lang w:val="en-US"/>
        </w:rPr>
        <w:t xml:space="preserve"> </w:t>
      </w:r>
      <w:r w:rsidR="00B146D3">
        <w:rPr>
          <w:rFonts w:cstheme="minorHAnsi"/>
          <w:lang w:val="en-US"/>
        </w:rPr>
        <w:t>were</w:t>
      </w:r>
      <w:r w:rsidR="00642E72">
        <w:rPr>
          <w:rFonts w:cstheme="minorHAnsi"/>
          <w:lang w:val="en-US"/>
        </w:rPr>
        <w:t xml:space="preserve"> found </w:t>
      </w:r>
      <w:r w:rsidR="00B146D3">
        <w:rPr>
          <w:rFonts w:cstheme="minorHAnsi"/>
          <w:lang w:val="en-US"/>
        </w:rPr>
        <w:t>in</w:t>
      </w:r>
      <w:r w:rsidR="00642E72">
        <w:rPr>
          <w:rFonts w:cstheme="minorHAnsi"/>
          <w:lang w:val="en-US"/>
        </w:rPr>
        <w:t xml:space="preserve"> the in-strengt</w:t>
      </w:r>
      <w:r w:rsidR="00B146D3">
        <w:rPr>
          <w:rFonts w:cstheme="minorHAnsi"/>
          <w:lang w:val="en-US"/>
        </w:rPr>
        <w:t xml:space="preserve">h, out-strength, or density distributions.  However, when the in-strength and out-strength distributions of each subject were normalized by the subject-wise </w:t>
      </w:r>
      <w:r w:rsidR="002D6965">
        <w:rPr>
          <w:rFonts w:cstheme="minorHAnsi"/>
          <w:lang w:val="en-US"/>
        </w:rPr>
        <w:t>densities, significant group-level differences were detected</w:t>
      </w:r>
      <w:r w:rsidR="001A3804">
        <w:rPr>
          <w:rFonts w:cstheme="minorHAnsi"/>
          <w:lang w:val="en-US"/>
        </w:rPr>
        <w:t>.  A preliminary visual examination of the normalized strength distributions suggests that patients may have higher density-corrected in-strengths and out-strengths compared to patients; however, it is the author’s opinion that this requires further quantification.  The author is currently uncertain how to interpret this result.</w:t>
      </w:r>
      <w:r w:rsidR="002C7410" w:rsidRPr="002C7410">
        <w:rPr>
          <w:rFonts w:cstheme="minorHAnsi"/>
          <w:b/>
          <w:bCs/>
          <w:sz w:val="26"/>
          <w:szCs w:val="26"/>
          <w:lang w:val="en-US"/>
        </w:rPr>
        <w:t xml:space="preserve"> </w:t>
      </w:r>
    </w:p>
    <w:p w14:paraId="2EAA8B96" w14:textId="77777777" w:rsidR="002C7410" w:rsidRDefault="002C7410" w:rsidP="002C7410">
      <w:pPr>
        <w:spacing w:line="360" w:lineRule="auto"/>
        <w:rPr>
          <w:rFonts w:cstheme="minorHAnsi"/>
          <w:lang w:val="en-US"/>
        </w:rPr>
      </w:pPr>
    </w:p>
    <w:p w14:paraId="5FB9D37B" w14:textId="77777777" w:rsidR="002C7410" w:rsidRDefault="002C7410" w:rsidP="002C7410">
      <w:pPr>
        <w:spacing w:line="360" w:lineRule="auto"/>
        <w:rPr>
          <w:rFonts w:cstheme="minorHAnsi"/>
          <w:lang w:val="en-US"/>
        </w:rPr>
      </w:pPr>
    </w:p>
    <w:p w14:paraId="76F2F54A" w14:textId="77777777" w:rsidR="002C7410" w:rsidRPr="002D30E9" w:rsidRDefault="002C7410" w:rsidP="002C7410">
      <w:pPr>
        <w:spacing w:line="360" w:lineRule="auto"/>
        <w:rPr>
          <w:rFonts w:cstheme="minorHAnsi"/>
          <w:b/>
          <w:bCs/>
          <w:sz w:val="26"/>
          <w:szCs w:val="26"/>
          <w:lang w:val="en-US"/>
        </w:rPr>
      </w:pPr>
      <w:r w:rsidRPr="002D30E9">
        <w:rPr>
          <w:rFonts w:cstheme="minorHAnsi"/>
          <w:b/>
          <w:bCs/>
          <w:sz w:val="26"/>
          <w:szCs w:val="26"/>
          <w:lang w:val="en-US"/>
        </w:rPr>
        <w:t>Methodology</w:t>
      </w:r>
    </w:p>
    <w:p w14:paraId="085A8D26" w14:textId="6B8E92AD" w:rsidR="00BF2FB1" w:rsidRDefault="00BF2FB1" w:rsidP="002B20F2">
      <w:pPr>
        <w:spacing w:line="360" w:lineRule="auto"/>
        <w:ind w:firstLine="708"/>
        <w:rPr>
          <w:rFonts w:cstheme="minorHAnsi"/>
          <w:lang w:val="en-US"/>
        </w:rPr>
      </w:pPr>
    </w:p>
    <w:p w14:paraId="7FE1DA3A" w14:textId="167DED51" w:rsidR="00C1412F" w:rsidRDefault="00C1412F" w:rsidP="00034090">
      <w:pPr>
        <w:spacing w:line="360" w:lineRule="auto"/>
        <w:rPr>
          <w:rFonts w:cstheme="minorHAnsi"/>
          <w:lang w:val="en-US"/>
        </w:rPr>
      </w:pPr>
    </w:p>
    <w:p w14:paraId="7805F4D8" w14:textId="77777777" w:rsidR="00C1412F" w:rsidRDefault="00C1412F" w:rsidP="00034090">
      <w:pPr>
        <w:spacing w:line="360" w:lineRule="auto"/>
        <w:rPr>
          <w:rFonts w:cstheme="minorHAnsi"/>
          <w:lang w:val="en-US"/>
        </w:rPr>
      </w:pPr>
    </w:p>
    <w:p w14:paraId="3C7F789C" w14:textId="50C3A80E" w:rsidR="00B1027B" w:rsidRPr="002D30E9" w:rsidRDefault="00B1027B" w:rsidP="00034090">
      <w:pPr>
        <w:spacing w:line="360" w:lineRule="auto"/>
        <w:rPr>
          <w:rFonts w:cstheme="minorHAnsi"/>
          <w:b/>
          <w:bCs/>
          <w:sz w:val="26"/>
          <w:szCs w:val="26"/>
          <w:lang w:val="en-US"/>
        </w:rPr>
      </w:pPr>
      <w:r w:rsidRPr="002D30E9">
        <w:rPr>
          <w:rFonts w:cstheme="minorHAnsi"/>
          <w:b/>
          <w:bCs/>
          <w:sz w:val="26"/>
          <w:szCs w:val="26"/>
          <w:lang w:val="en-US"/>
        </w:rPr>
        <w:t>Results</w:t>
      </w:r>
    </w:p>
    <w:p w14:paraId="7D12FB47" w14:textId="23513BC3" w:rsidR="00B1027B" w:rsidRDefault="0087004F" w:rsidP="00034090">
      <w:pPr>
        <w:spacing w:line="360" w:lineRule="auto"/>
        <w:rPr>
          <w:rFonts w:cstheme="minorHAnsi"/>
          <w:lang w:val="en-US"/>
        </w:rPr>
      </w:pPr>
      <w:r>
        <w:rPr>
          <w:rFonts w:cstheme="minorHAnsi"/>
          <w:lang w:val="en-US"/>
        </w:rPr>
        <w:tab/>
      </w:r>
    </w:p>
    <w:p w14:paraId="709EB8E7" w14:textId="142861AB" w:rsidR="00B1027B" w:rsidRDefault="00B1027B" w:rsidP="00034090">
      <w:pPr>
        <w:spacing w:line="360" w:lineRule="auto"/>
        <w:rPr>
          <w:rFonts w:cstheme="minorHAnsi"/>
          <w:lang w:val="en-US"/>
        </w:rPr>
      </w:pPr>
    </w:p>
    <w:p w14:paraId="7EF80EC7" w14:textId="2A7ED56E" w:rsidR="00B1027B" w:rsidRPr="002D30E9" w:rsidRDefault="00B1027B" w:rsidP="00034090">
      <w:pPr>
        <w:spacing w:line="360" w:lineRule="auto"/>
        <w:rPr>
          <w:rFonts w:cstheme="minorHAnsi"/>
          <w:b/>
          <w:bCs/>
          <w:sz w:val="26"/>
          <w:szCs w:val="26"/>
          <w:lang w:val="en-US"/>
        </w:rPr>
      </w:pPr>
      <w:r w:rsidRPr="002D30E9">
        <w:rPr>
          <w:rFonts w:cstheme="minorHAnsi"/>
          <w:b/>
          <w:bCs/>
          <w:sz w:val="26"/>
          <w:szCs w:val="26"/>
          <w:lang w:val="en-US"/>
        </w:rPr>
        <w:lastRenderedPageBreak/>
        <w:t>Current Questions</w:t>
      </w:r>
    </w:p>
    <w:p w14:paraId="6FCFC71A" w14:textId="676AA8C4" w:rsidR="00B1027B" w:rsidRDefault="00F1792F" w:rsidP="00034090">
      <w:pPr>
        <w:spacing w:line="360" w:lineRule="auto"/>
        <w:rPr>
          <w:rFonts w:cstheme="minorHAnsi"/>
          <w:lang w:val="en-US"/>
        </w:rPr>
      </w:pPr>
      <w:r>
        <w:rPr>
          <w:rFonts w:cstheme="minorHAnsi"/>
          <w:lang w:val="en-US"/>
        </w:rPr>
        <w:tab/>
      </w:r>
    </w:p>
    <w:p w14:paraId="01D94325" w14:textId="06F1910D" w:rsidR="00F27699" w:rsidRDefault="00F27699" w:rsidP="00034090">
      <w:pPr>
        <w:spacing w:line="360" w:lineRule="auto"/>
        <w:rPr>
          <w:rFonts w:cstheme="minorHAnsi"/>
          <w:lang w:val="en-US"/>
        </w:rPr>
      </w:pPr>
    </w:p>
    <w:p w14:paraId="7F103A21" w14:textId="77777777" w:rsidR="00745EF3" w:rsidRDefault="00F27699" w:rsidP="00745EF3">
      <w:pPr>
        <w:spacing w:line="360" w:lineRule="auto"/>
        <w:rPr>
          <w:rFonts w:cstheme="minorHAnsi"/>
          <w:b/>
          <w:bCs/>
          <w:lang w:val="en-US"/>
        </w:rPr>
      </w:pPr>
      <w:r w:rsidRPr="00F27699">
        <w:rPr>
          <w:rFonts w:cstheme="minorHAnsi"/>
          <w:b/>
          <w:bCs/>
          <w:lang w:val="en-US"/>
        </w:rPr>
        <w:t>Discussion</w:t>
      </w:r>
    </w:p>
    <w:p w14:paraId="6146F0E3" w14:textId="15A1E664" w:rsidR="00F27699" w:rsidRDefault="00F27699" w:rsidP="00745EF3">
      <w:pPr>
        <w:spacing w:line="360" w:lineRule="auto"/>
        <w:ind w:firstLine="708"/>
        <w:rPr>
          <w:rFonts w:cstheme="minorHAnsi"/>
          <w:lang w:val="en-US"/>
        </w:rPr>
      </w:pPr>
      <w:r>
        <w:rPr>
          <w:rFonts w:cstheme="minorHAnsi"/>
          <w:lang w:val="en-US"/>
        </w:rPr>
        <w:t>The finding of significant differences in the density-normalized in-strength and out-strength suggests that obsessive-compulsive patients may display increased per-connection strength in the effective connectivity.  However, this effect is not detected with the network-based statistic, suggesting that it is either quite weak (as suggested by the group-level strength distributions) or highly distributed and possibly unconnected.  As the NBS is designed to detect significant subnetworks rather than significant links, it conveys no improvement to traditional statistical testing in detecting unconnected alterations in connection strength.</w:t>
      </w:r>
    </w:p>
    <w:p w14:paraId="32673F00" w14:textId="5ECEA02C" w:rsidR="00B1027B" w:rsidRDefault="00B1027B" w:rsidP="00034090">
      <w:pPr>
        <w:spacing w:line="360" w:lineRule="auto"/>
        <w:rPr>
          <w:rFonts w:cstheme="minorHAnsi"/>
          <w:lang w:val="en-US"/>
        </w:rPr>
      </w:pPr>
    </w:p>
    <w:p w14:paraId="7903A951" w14:textId="77777777" w:rsidR="00745EF3" w:rsidRDefault="00B1027B" w:rsidP="00745EF3">
      <w:pPr>
        <w:spacing w:line="360" w:lineRule="auto"/>
        <w:rPr>
          <w:rFonts w:cstheme="minorHAnsi"/>
          <w:b/>
          <w:bCs/>
          <w:sz w:val="26"/>
          <w:szCs w:val="26"/>
          <w:lang w:val="en-US"/>
        </w:rPr>
      </w:pPr>
      <w:r w:rsidRPr="002D30E9">
        <w:rPr>
          <w:rFonts w:cstheme="minorHAnsi"/>
          <w:b/>
          <w:bCs/>
          <w:sz w:val="26"/>
          <w:szCs w:val="26"/>
          <w:lang w:val="en-US"/>
        </w:rPr>
        <w:t>Proposed Future Steps</w:t>
      </w:r>
    </w:p>
    <w:p w14:paraId="56014075" w14:textId="18DFE762" w:rsidR="00745EF3" w:rsidRDefault="00F27699" w:rsidP="005439B9">
      <w:pPr>
        <w:spacing w:line="360" w:lineRule="auto"/>
        <w:ind w:firstLine="708"/>
        <w:rPr>
          <w:rFonts w:cstheme="minorHAnsi"/>
          <w:lang w:val="en-US"/>
        </w:rPr>
      </w:pPr>
      <w:r>
        <w:rPr>
          <w:rFonts w:cstheme="minorHAnsi"/>
          <w:lang w:val="en-US"/>
        </w:rPr>
        <w:t xml:space="preserve">The finding of significant differences in the density-normalized in-strength and out-strength suggests that additional graph analyses may prove beneficial.  The author thus proposes the application of further graph analyses </w:t>
      </w:r>
      <w:r w:rsidR="00D950F3">
        <w:rPr>
          <w:rFonts w:cstheme="minorHAnsi"/>
          <w:lang w:val="en-US"/>
        </w:rPr>
        <w:t>to the dataset</w:t>
      </w:r>
      <w:r w:rsidR="005F03FF">
        <w:rPr>
          <w:rFonts w:cstheme="minorHAnsi"/>
          <w:lang w:val="en-US"/>
        </w:rPr>
        <w:t>, as laid out in the Utrecht Summer School exercises</w:t>
      </w:r>
      <w:r w:rsidR="00D950F3">
        <w:rPr>
          <w:rFonts w:cstheme="minorHAnsi"/>
          <w:lang w:val="en-US"/>
        </w:rPr>
        <w:t>.  This will serve to exhaustively explore the potential alterations in the effective connectivity of obsessive-compulsive patients.  It will also allow the author to thoroughly explore graph analyses as applied to directed connectivity.</w:t>
      </w:r>
    </w:p>
    <w:p w14:paraId="2AD0FCCE" w14:textId="77777777" w:rsidR="00745EF3" w:rsidRDefault="00745EF3" w:rsidP="00745EF3">
      <w:pPr>
        <w:spacing w:line="360" w:lineRule="auto"/>
        <w:rPr>
          <w:rFonts w:cstheme="minorHAnsi"/>
          <w:lang w:val="en-US"/>
        </w:rPr>
      </w:pPr>
    </w:p>
    <w:p w14:paraId="2D9B8DAD" w14:textId="76616122" w:rsidR="00745EF3" w:rsidRDefault="00A356A9" w:rsidP="00745EF3">
      <w:pPr>
        <w:spacing w:line="360" w:lineRule="auto"/>
        <w:ind w:firstLine="708"/>
        <w:rPr>
          <w:rFonts w:cstheme="minorHAnsi"/>
          <w:lang w:val="en-US"/>
        </w:rPr>
      </w:pPr>
      <w:r>
        <w:rPr>
          <w:rFonts w:cstheme="minorHAnsi"/>
          <w:lang w:val="en-US"/>
        </w:rPr>
        <w:t xml:space="preserve">The author has experienced some difficulty in quantifying the inter-state switching behavior of patients and controls.  </w:t>
      </w:r>
      <w:r w:rsidR="00855BE8">
        <w:rPr>
          <w:rFonts w:cstheme="minorHAnsi"/>
          <w:lang w:val="en-US"/>
        </w:rPr>
        <w:t xml:space="preserve">This is due to the fact that the </w:t>
      </w:r>
      <w:proofErr w:type="spellStart"/>
      <w:r w:rsidR="00855BE8">
        <w:rPr>
          <w:rFonts w:cstheme="minorHAnsi"/>
          <w:lang w:val="en-US"/>
        </w:rPr>
        <w:t>LEiDA</w:t>
      </w:r>
      <w:proofErr w:type="spellEnd"/>
      <w:r w:rsidR="00855BE8">
        <w:rPr>
          <w:rFonts w:cstheme="minorHAnsi"/>
          <w:lang w:val="en-US"/>
        </w:rPr>
        <w:t xml:space="preserve"> algorithm, from which the LEICA process was developed, </w:t>
      </w:r>
      <w:r w:rsidR="004F1E88">
        <w:rPr>
          <w:rFonts w:cstheme="minorHAnsi"/>
          <w:lang w:val="en-US"/>
        </w:rPr>
        <w:t xml:space="preserve">segments the time series with a </w:t>
      </w:r>
      <w:r w:rsidR="004F1E88">
        <w:rPr>
          <w:rFonts w:cstheme="minorHAnsi"/>
          <w:i/>
          <w:iCs/>
          <w:lang w:val="en-US"/>
        </w:rPr>
        <w:t>k</w:t>
      </w:r>
      <w:r w:rsidR="004F1E88">
        <w:rPr>
          <w:rFonts w:cstheme="minorHAnsi"/>
          <w:lang w:val="en-US"/>
        </w:rPr>
        <w:t xml:space="preserve">-NN algorithm, which classifies each time point into a single state.  As such, </w:t>
      </w:r>
      <w:proofErr w:type="spellStart"/>
      <w:r w:rsidR="004F1E88">
        <w:rPr>
          <w:rFonts w:cstheme="minorHAnsi"/>
          <w:lang w:val="en-US"/>
        </w:rPr>
        <w:t>LEiDA</w:t>
      </w:r>
      <w:proofErr w:type="spellEnd"/>
      <w:r w:rsidR="004F1E88">
        <w:rPr>
          <w:rFonts w:cstheme="minorHAnsi"/>
          <w:lang w:val="en-US"/>
        </w:rPr>
        <w:t xml:space="preserve"> segments the time series </w:t>
      </w:r>
      <w:r w:rsidR="004F1E88" w:rsidRPr="004F1E88">
        <w:rPr>
          <w:rFonts w:cstheme="minorHAnsi"/>
          <w:lang w:val="en-US"/>
        </w:rPr>
        <w:t>into</w:t>
      </w:r>
      <w:r w:rsidR="004F1E88">
        <w:rPr>
          <w:rFonts w:cstheme="minorHAnsi"/>
          <w:lang w:val="en-US"/>
        </w:rPr>
        <w:t xml:space="preserve"> strictly non-overlapping states.  Independent component analysis</w:t>
      </w:r>
      <w:r w:rsidR="00893DC2">
        <w:rPr>
          <w:rFonts w:cstheme="minorHAnsi"/>
          <w:lang w:val="en-US"/>
        </w:rPr>
        <w:t>, on the other hand, assigns each spatial component an activity weight at each time point.  LEICA thus allows</w:t>
      </w:r>
      <w:r w:rsidR="00870193">
        <w:rPr>
          <w:rFonts w:cstheme="minorHAnsi"/>
          <w:lang w:val="en-US"/>
        </w:rPr>
        <w:t xml:space="preserve"> two possibilities which are impossible </w:t>
      </w:r>
      <w:r w:rsidR="00870193">
        <w:rPr>
          <w:rFonts w:cstheme="minorHAnsi"/>
          <w:lang w:val="en-US"/>
        </w:rPr>
        <w:lastRenderedPageBreak/>
        <w:t xml:space="preserve">under the </w:t>
      </w:r>
      <w:proofErr w:type="spellStart"/>
      <w:r w:rsidR="00870193">
        <w:rPr>
          <w:rFonts w:cstheme="minorHAnsi"/>
          <w:lang w:val="en-US"/>
        </w:rPr>
        <w:t>LEiDA</w:t>
      </w:r>
      <w:proofErr w:type="spellEnd"/>
      <w:r w:rsidR="00870193">
        <w:rPr>
          <w:rFonts w:cstheme="minorHAnsi"/>
          <w:lang w:val="en-US"/>
        </w:rPr>
        <w:t xml:space="preserve"> algorithm: that</w:t>
      </w:r>
      <w:r w:rsidR="00893DC2">
        <w:rPr>
          <w:rFonts w:cstheme="minorHAnsi"/>
          <w:lang w:val="en-US"/>
        </w:rPr>
        <w:t xml:space="preserve"> multiple components </w:t>
      </w:r>
      <w:r w:rsidR="00870193">
        <w:rPr>
          <w:rFonts w:cstheme="minorHAnsi"/>
          <w:lang w:val="en-US"/>
        </w:rPr>
        <w:t>may</w:t>
      </w:r>
      <w:r w:rsidR="00893DC2">
        <w:rPr>
          <w:rFonts w:cstheme="minorHAnsi"/>
          <w:lang w:val="en-US"/>
        </w:rPr>
        <w:t xml:space="preserve"> be active simultaneously,</w:t>
      </w:r>
      <w:r w:rsidR="00870193">
        <w:rPr>
          <w:rFonts w:cstheme="minorHAnsi"/>
          <w:lang w:val="en-US"/>
        </w:rPr>
        <w:t xml:space="preserve"> or that there may be a time point in which no components are active</w:t>
      </w:r>
      <w:r w:rsidR="00893DC2">
        <w:rPr>
          <w:rFonts w:cstheme="minorHAnsi"/>
          <w:lang w:val="en-US"/>
        </w:rPr>
        <w:t>.</w:t>
      </w:r>
    </w:p>
    <w:p w14:paraId="76718628" w14:textId="2E23BF1E" w:rsidR="008318DC" w:rsidRDefault="00870193" w:rsidP="00745EF3">
      <w:pPr>
        <w:spacing w:line="360" w:lineRule="auto"/>
        <w:ind w:firstLine="708"/>
        <w:rPr>
          <w:rFonts w:cstheme="minorHAnsi"/>
          <w:lang w:val="en-US"/>
        </w:rPr>
      </w:pPr>
      <w:r>
        <w:rPr>
          <w:rFonts w:cstheme="minorHAnsi"/>
          <w:lang w:val="en-US"/>
        </w:rPr>
        <w:t>The author proposes that</w:t>
      </w:r>
      <w:r w:rsidR="002D5B0B">
        <w:rPr>
          <w:rFonts w:cstheme="minorHAnsi"/>
          <w:lang w:val="en-US"/>
        </w:rPr>
        <w:t xml:space="preserve"> the LEICA state time series should be treated, not as strictly exclusive states, but as an activation “spectrum” which varies over time.  This will capture </w:t>
      </w:r>
      <w:r w:rsidR="00B87342">
        <w:rPr>
          <w:rFonts w:cstheme="minorHAnsi"/>
          <w:lang w:val="en-US"/>
        </w:rPr>
        <w:t xml:space="preserve">the activation behavior of each state and will allow precise quantification of the co-activation tendencies of each assembly.  However, the author is uncertain how to </w:t>
      </w:r>
      <w:r w:rsidR="00E9098C">
        <w:rPr>
          <w:rFonts w:cstheme="minorHAnsi"/>
          <w:lang w:val="en-US"/>
        </w:rPr>
        <w:t>extract meaningful summary statistics</w:t>
      </w:r>
      <w:r w:rsidR="00B87342">
        <w:rPr>
          <w:rFonts w:cstheme="minorHAnsi"/>
          <w:lang w:val="en-US"/>
        </w:rPr>
        <w:t xml:space="preserve"> </w:t>
      </w:r>
      <w:r w:rsidR="00E9098C">
        <w:rPr>
          <w:rFonts w:cstheme="minorHAnsi"/>
          <w:lang w:val="en-US"/>
        </w:rPr>
        <w:t xml:space="preserve">from </w:t>
      </w:r>
      <w:r w:rsidR="00B87342">
        <w:rPr>
          <w:rFonts w:cstheme="minorHAnsi"/>
          <w:lang w:val="en-US"/>
        </w:rPr>
        <w:t>such a spectral time series</w:t>
      </w:r>
      <w:r w:rsidR="00E9098C">
        <w:rPr>
          <w:rFonts w:cstheme="minorHAnsi"/>
          <w:lang w:val="en-US"/>
        </w:rPr>
        <w:t>.  In particular, the author remains uncertain how to quantify inter-component transition matrices, as the fundamental problem of co-active or non-active assemblies will remain</w:t>
      </w:r>
      <w:r w:rsidR="00B547EC">
        <w:rPr>
          <w:rFonts w:cstheme="minorHAnsi"/>
          <w:lang w:val="en-US"/>
        </w:rPr>
        <w:t>.</w:t>
      </w:r>
      <w:r w:rsidR="00E9098C">
        <w:rPr>
          <w:rFonts w:cstheme="minorHAnsi"/>
          <w:lang w:val="en-US"/>
        </w:rPr>
        <w:t xml:space="preserve"> </w:t>
      </w:r>
    </w:p>
    <w:p w14:paraId="36CE92A9" w14:textId="2DDD2D32" w:rsidR="00B1027B" w:rsidRDefault="00B1027B" w:rsidP="00034090">
      <w:pPr>
        <w:spacing w:line="360" w:lineRule="auto"/>
        <w:rPr>
          <w:rFonts w:cstheme="minorHAnsi"/>
          <w:lang w:val="en-US"/>
        </w:rPr>
      </w:pPr>
    </w:p>
    <w:p w14:paraId="67DE0D09" w14:textId="77777777" w:rsidR="00D074D6" w:rsidRPr="00D074D6" w:rsidRDefault="00B1027B" w:rsidP="00D074D6">
      <w:pPr>
        <w:spacing w:line="360" w:lineRule="auto"/>
        <w:rPr>
          <w:rFonts w:cstheme="minorHAnsi"/>
          <w:sz w:val="26"/>
          <w:szCs w:val="26"/>
          <w:lang w:val="en-US"/>
        </w:rPr>
      </w:pPr>
      <w:r w:rsidRPr="002D30E9">
        <w:rPr>
          <w:rFonts w:cstheme="minorHAnsi"/>
          <w:b/>
          <w:bCs/>
          <w:sz w:val="26"/>
          <w:szCs w:val="26"/>
          <w:lang w:val="en-US"/>
        </w:rPr>
        <w:t>Proposed Future Projects</w:t>
      </w:r>
    </w:p>
    <w:p w14:paraId="17FB0C7F" w14:textId="373F3692" w:rsidR="00B1027B" w:rsidRDefault="00484EAE" w:rsidP="00D074D6">
      <w:pPr>
        <w:spacing w:line="360" w:lineRule="auto"/>
        <w:ind w:firstLine="708"/>
        <w:rPr>
          <w:rFonts w:cstheme="minorHAnsi"/>
          <w:lang w:val="en-US"/>
        </w:rPr>
      </w:pPr>
      <w:r>
        <w:rPr>
          <w:rFonts w:cstheme="minorHAnsi"/>
          <w:lang w:val="en-US"/>
        </w:rPr>
        <w:t xml:space="preserve"> </w:t>
      </w:r>
      <w:r w:rsidR="005439B9">
        <w:rPr>
          <w:rFonts w:cstheme="minorHAnsi"/>
          <w:lang w:val="en-US"/>
        </w:rPr>
        <w:t xml:space="preserve">The author </w:t>
      </w:r>
      <w:bookmarkStart w:id="0" w:name="_GoBack"/>
      <w:bookmarkEnd w:id="0"/>
      <w:r w:rsidR="005439B9">
        <w:rPr>
          <w:rFonts w:cstheme="minorHAnsi"/>
          <w:lang w:val="en-US"/>
        </w:rPr>
        <w:t>suggests quantifying the number and differences between the components of each subject’s principal eigenmode.  The current analysis assumes that each subject possesses comparable functional components, and thus imposed common eigenmode components across all subjects.  However, it remains unclear whether each subject displays the same number of spatial components, or how similar these spatial components may be across subjects.  The author proposes that the spatial components of each subjects’ principal eigenmode(s) be computed separately, and these components be compared on both the subject level and the group level.  The author is particularly interested by the possibility that obsessive-compulsive patients may display a different number of spatial components compared to controls.  He also wishes to more precisely quantify the similarity between individual spatial components and canonical resting-state networks.</w:t>
      </w:r>
    </w:p>
    <w:p w14:paraId="52301757" w14:textId="19FC5680" w:rsidR="00B1027B" w:rsidRDefault="00B1027B" w:rsidP="00034090">
      <w:pPr>
        <w:spacing w:line="360" w:lineRule="auto"/>
        <w:rPr>
          <w:rFonts w:cstheme="minorHAnsi"/>
          <w:lang w:val="en-US"/>
        </w:rPr>
      </w:pPr>
    </w:p>
    <w:p w14:paraId="34BE77CF" w14:textId="77777777" w:rsidR="00D074D6" w:rsidRDefault="00B1027B" w:rsidP="00D074D6">
      <w:pPr>
        <w:spacing w:line="360" w:lineRule="auto"/>
        <w:rPr>
          <w:rFonts w:cstheme="minorHAnsi"/>
          <w:sz w:val="26"/>
          <w:szCs w:val="26"/>
          <w:lang w:val="en-US"/>
        </w:rPr>
      </w:pPr>
      <w:r w:rsidRPr="002D30E9">
        <w:rPr>
          <w:rFonts w:cstheme="minorHAnsi"/>
          <w:b/>
          <w:bCs/>
          <w:sz w:val="26"/>
          <w:szCs w:val="26"/>
          <w:lang w:val="en-US"/>
        </w:rPr>
        <w:t>Known Current Problems with Ph.D. Status</w:t>
      </w:r>
    </w:p>
    <w:p w14:paraId="18D19AD1" w14:textId="1F5A84DC" w:rsidR="00B1027B" w:rsidRPr="00B1027B" w:rsidRDefault="00B1027B" w:rsidP="00D074D6">
      <w:pPr>
        <w:spacing w:line="360" w:lineRule="auto"/>
        <w:ind w:firstLine="708"/>
        <w:rPr>
          <w:rFonts w:cstheme="minorHAnsi"/>
          <w:lang w:val="en-US"/>
        </w:rPr>
      </w:pPr>
    </w:p>
    <w:sectPr w:rsidR="00B1027B" w:rsidRPr="00B1027B" w:rsidSect="00B312BE">
      <w:headerReference w:type="even" r:id="rId8"/>
      <w:headerReference w:type="default" r:id="rId9"/>
      <w:footerReference w:type="even" r:id="rId10"/>
      <w:footerReference w:type="default" r:id="rId11"/>
      <w:headerReference w:type="first" r:id="rId12"/>
      <w:footerReference w:type="first" r:id="rId1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1839D" w14:textId="77777777" w:rsidR="005D3AA7" w:rsidRDefault="005D3AA7" w:rsidP="00357E83">
      <w:r>
        <w:separator/>
      </w:r>
    </w:p>
  </w:endnote>
  <w:endnote w:type="continuationSeparator" w:id="0">
    <w:p w14:paraId="68BAE4F9" w14:textId="77777777" w:rsidR="005D3AA7" w:rsidRDefault="005D3AA7" w:rsidP="0035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3B064" w14:textId="77777777" w:rsidR="00F555E4" w:rsidRDefault="00F55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48FAB" w14:textId="77777777" w:rsidR="00F555E4" w:rsidRDefault="00F555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F27E" w14:textId="77777777" w:rsidR="00F555E4" w:rsidRDefault="00F55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0C7AB" w14:textId="77777777" w:rsidR="005D3AA7" w:rsidRDefault="005D3AA7" w:rsidP="00357E83">
      <w:r>
        <w:separator/>
      </w:r>
    </w:p>
  </w:footnote>
  <w:footnote w:type="continuationSeparator" w:id="0">
    <w:p w14:paraId="6B8D0222" w14:textId="77777777" w:rsidR="005D3AA7" w:rsidRDefault="005D3AA7" w:rsidP="00357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FCC10" w14:textId="77777777" w:rsidR="00F555E4" w:rsidRDefault="00F555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14FE3" w14:textId="5C9A17CC" w:rsidR="00357E83" w:rsidRDefault="00357E83" w:rsidP="00357E83">
    <w:pPr>
      <w:pStyle w:val="Header"/>
      <w:jc w:val="right"/>
      <w:rPr>
        <w:lang w:val="en-US"/>
      </w:rPr>
    </w:pPr>
    <w:r>
      <w:rPr>
        <w:lang w:val="en-US"/>
      </w:rPr>
      <w:t>David Sutherland Blair</w:t>
    </w:r>
  </w:p>
  <w:p w14:paraId="1E8FC753" w14:textId="706797C3" w:rsidR="00357E83" w:rsidRDefault="00357E83" w:rsidP="00357E83">
    <w:pPr>
      <w:pStyle w:val="Header"/>
      <w:jc w:val="right"/>
      <w:rPr>
        <w:lang w:val="en-US"/>
      </w:rPr>
    </w:pPr>
    <w:r>
      <w:rPr>
        <w:lang w:val="en-US"/>
      </w:rPr>
      <w:t>Computational Neuroscience Group</w:t>
    </w:r>
  </w:p>
  <w:p w14:paraId="51360A87" w14:textId="2F9D9F36" w:rsidR="00357E83" w:rsidRDefault="00357E83" w:rsidP="00357E83">
    <w:pPr>
      <w:pStyle w:val="Header"/>
      <w:jc w:val="right"/>
      <w:rPr>
        <w:lang w:val="en-US"/>
      </w:rPr>
    </w:pPr>
    <w:proofErr w:type="spellStart"/>
    <w:r>
      <w:rPr>
        <w:lang w:val="en-US"/>
      </w:rPr>
      <w:t>Universitat</w:t>
    </w:r>
    <w:proofErr w:type="spellEnd"/>
    <w:r>
      <w:rPr>
        <w:lang w:val="en-US"/>
      </w:rPr>
      <w:t xml:space="preserve"> </w:t>
    </w:r>
    <w:proofErr w:type="spellStart"/>
    <w:r>
      <w:rPr>
        <w:lang w:val="en-US"/>
      </w:rPr>
      <w:t>Pompeu</w:t>
    </w:r>
    <w:proofErr w:type="spellEnd"/>
    <w:r>
      <w:rPr>
        <w:lang w:val="en-US"/>
      </w:rPr>
      <w:t xml:space="preserve"> </w:t>
    </w:r>
    <w:proofErr w:type="spellStart"/>
    <w:r>
      <w:rPr>
        <w:lang w:val="en-US"/>
      </w:rPr>
      <w:t>Fabra</w:t>
    </w:r>
    <w:proofErr w:type="spellEnd"/>
  </w:p>
  <w:p w14:paraId="4CF1ABB0" w14:textId="77777777" w:rsidR="00357E83" w:rsidRPr="00357E83" w:rsidRDefault="00357E83" w:rsidP="00357E83">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F272A" w14:textId="77777777" w:rsidR="00F555E4" w:rsidRDefault="00F555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10286"/>
    <w:multiLevelType w:val="hybridMultilevel"/>
    <w:tmpl w:val="EBFE11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83"/>
    <w:rsid w:val="00015E4E"/>
    <w:rsid w:val="00034090"/>
    <w:rsid w:val="0007527E"/>
    <w:rsid w:val="00091F1D"/>
    <w:rsid w:val="000F2181"/>
    <w:rsid w:val="00130C5F"/>
    <w:rsid w:val="00141B5B"/>
    <w:rsid w:val="00162BF0"/>
    <w:rsid w:val="001630DB"/>
    <w:rsid w:val="00180C1B"/>
    <w:rsid w:val="00185132"/>
    <w:rsid w:val="001A3804"/>
    <w:rsid w:val="001C6251"/>
    <w:rsid w:val="001D7423"/>
    <w:rsid w:val="00207F43"/>
    <w:rsid w:val="00254883"/>
    <w:rsid w:val="002573DA"/>
    <w:rsid w:val="002A0535"/>
    <w:rsid w:val="002B20F2"/>
    <w:rsid w:val="002B229F"/>
    <w:rsid w:val="002C7410"/>
    <w:rsid w:val="002C75A4"/>
    <w:rsid w:val="002D30E9"/>
    <w:rsid w:val="002D5B0B"/>
    <w:rsid w:val="002D6965"/>
    <w:rsid w:val="002D797C"/>
    <w:rsid w:val="00334057"/>
    <w:rsid w:val="00357E83"/>
    <w:rsid w:val="003672F7"/>
    <w:rsid w:val="00374759"/>
    <w:rsid w:val="00376469"/>
    <w:rsid w:val="003A6B92"/>
    <w:rsid w:val="003B20F6"/>
    <w:rsid w:val="003D1D10"/>
    <w:rsid w:val="003F2146"/>
    <w:rsid w:val="004056CE"/>
    <w:rsid w:val="00415ABD"/>
    <w:rsid w:val="0045082A"/>
    <w:rsid w:val="00452742"/>
    <w:rsid w:val="00484EAE"/>
    <w:rsid w:val="004921A2"/>
    <w:rsid w:val="004A59C5"/>
    <w:rsid w:val="004C4ADD"/>
    <w:rsid w:val="004D2B96"/>
    <w:rsid w:val="004F0721"/>
    <w:rsid w:val="004F1E88"/>
    <w:rsid w:val="005439B9"/>
    <w:rsid w:val="005A4727"/>
    <w:rsid w:val="005B4188"/>
    <w:rsid w:val="005D3AA7"/>
    <w:rsid w:val="005E6686"/>
    <w:rsid w:val="005F03FF"/>
    <w:rsid w:val="005F49E6"/>
    <w:rsid w:val="0061489A"/>
    <w:rsid w:val="006148AD"/>
    <w:rsid w:val="00641427"/>
    <w:rsid w:val="00642E72"/>
    <w:rsid w:val="006924F5"/>
    <w:rsid w:val="00693183"/>
    <w:rsid w:val="00711025"/>
    <w:rsid w:val="0072431C"/>
    <w:rsid w:val="00745EF3"/>
    <w:rsid w:val="00747871"/>
    <w:rsid w:val="00804184"/>
    <w:rsid w:val="00810706"/>
    <w:rsid w:val="008318DC"/>
    <w:rsid w:val="0083785B"/>
    <w:rsid w:val="00855BE8"/>
    <w:rsid w:val="0087004F"/>
    <w:rsid w:val="00870193"/>
    <w:rsid w:val="0087130B"/>
    <w:rsid w:val="00893DC2"/>
    <w:rsid w:val="008B38E7"/>
    <w:rsid w:val="008E51FE"/>
    <w:rsid w:val="00904C96"/>
    <w:rsid w:val="00917D78"/>
    <w:rsid w:val="00923240"/>
    <w:rsid w:val="00973257"/>
    <w:rsid w:val="0097326A"/>
    <w:rsid w:val="00973744"/>
    <w:rsid w:val="00973866"/>
    <w:rsid w:val="009756FC"/>
    <w:rsid w:val="009877CA"/>
    <w:rsid w:val="00987AF1"/>
    <w:rsid w:val="009B22F3"/>
    <w:rsid w:val="009B245A"/>
    <w:rsid w:val="009D11B3"/>
    <w:rsid w:val="009D29F6"/>
    <w:rsid w:val="00A0445A"/>
    <w:rsid w:val="00A10AF3"/>
    <w:rsid w:val="00A356A9"/>
    <w:rsid w:val="00A528E5"/>
    <w:rsid w:val="00AB04AD"/>
    <w:rsid w:val="00AE75E7"/>
    <w:rsid w:val="00AF50E5"/>
    <w:rsid w:val="00B1027B"/>
    <w:rsid w:val="00B146D3"/>
    <w:rsid w:val="00B312BE"/>
    <w:rsid w:val="00B547EC"/>
    <w:rsid w:val="00B65BC5"/>
    <w:rsid w:val="00B841E2"/>
    <w:rsid w:val="00B87342"/>
    <w:rsid w:val="00BA2BE3"/>
    <w:rsid w:val="00BD2D17"/>
    <w:rsid w:val="00BE6BDF"/>
    <w:rsid w:val="00BF2FB1"/>
    <w:rsid w:val="00BF3551"/>
    <w:rsid w:val="00C01BCC"/>
    <w:rsid w:val="00C1412F"/>
    <w:rsid w:val="00C3434E"/>
    <w:rsid w:val="00C560A0"/>
    <w:rsid w:val="00C6182B"/>
    <w:rsid w:val="00C66228"/>
    <w:rsid w:val="00CB40A7"/>
    <w:rsid w:val="00D01D0F"/>
    <w:rsid w:val="00D074D6"/>
    <w:rsid w:val="00D17DC4"/>
    <w:rsid w:val="00D71447"/>
    <w:rsid w:val="00D86A88"/>
    <w:rsid w:val="00D950F3"/>
    <w:rsid w:val="00DB7892"/>
    <w:rsid w:val="00DF6D2C"/>
    <w:rsid w:val="00E067E3"/>
    <w:rsid w:val="00E85A43"/>
    <w:rsid w:val="00E9098C"/>
    <w:rsid w:val="00E91D88"/>
    <w:rsid w:val="00EA754B"/>
    <w:rsid w:val="00EB3F39"/>
    <w:rsid w:val="00ED0C24"/>
    <w:rsid w:val="00EE1D85"/>
    <w:rsid w:val="00EE2DD3"/>
    <w:rsid w:val="00F1792F"/>
    <w:rsid w:val="00F27699"/>
    <w:rsid w:val="00F5415E"/>
    <w:rsid w:val="00F555E4"/>
    <w:rsid w:val="00F935CF"/>
    <w:rsid w:val="00FC3EEA"/>
    <w:rsid w:val="00FD3F8C"/>
    <w:rsid w:val="00FE5F2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9A33B"/>
  <w15:chartTrackingRefBased/>
  <w15:docId w15:val="{8C95B762-F821-3246-8CD8-2D45839F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E83"/>
    <w:pPr>
      <w:tabs>
        <w:tab w:val="center" w:pos="4252"/>
        <w:tab w:val="right" w:pos="8504"/>
      </w:tabs>
    </w:pPr>
  </w:style>
  <w:style w:type="character" w:customStyle="1" w:styleId="HeaderChar">
    <w:name w:val="Header Char"/>
    <w:basedOn w:val="DefaultParagraphFont"/>
    <w:link w:val="Header"/>
    <w:uiPriority w:val="99"/>
    <w:rsid w:val="00357E83"/>
  </w:style>
  <w:style w:type="paragraph" w:styleId="Footer">
    <w:name w:val="footer"/>
    <w:basedOn w:val="Normal"/>
    <w:link w:val="FooterChar"/>
    <w:uiPriority w:val="99"/>
    <w:unhideWhenUsed/>
    <w:rsid w:val="00357E83"/>
    <w:pPr>
      <w:tabs>
        <w:tab w:val="center" w:pos="4252"/>
        <w:tab w:val="right" w:pos="8504"/>
      </w:tabs>
    </w:pPr>
  </w:style>
  <w:style w:type="character" w:customStyle="1" w:styleId="FooterChar">
    <w:name w:val="Footer Char"/>
    <w:basedOn w:val="DefaultParagraphFont"/>
    <w:link w:val="Footer"/>
    <w:uiPriority w:val="99"/>
    <w:rsid w:val="00357E83"/>
  </w:style>
  <w:style w:type="paragraph" w:styleId="ListParagraph">
    <w:name w:val="List Paragraph"/>
    <w:basedOn w:val="Normal"/>
    <w:uiPriority w:val="34"/>
    <w:qFormat/>
    <w:rsid w:val="00AB0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55ADAA-A0F0-704C-A6F7-BB04E5F5A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Pages>
  <Words>3495</Words>
  <Characters>19927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Centre for Brain and Cognition</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89</cp:revision>
  <dcterms:created xsi:type="dcterms:W3CDTF">2019-07-29T15:01:00Z</dcterms:created>
  <dcterms:modified xsi:type="dcterms:W3CDTF">2019-08-26T15:47:00Z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f42a52c5-545e-3b48-8e62-0ebf6759e28d</vt:lpwstr>
  </property>
  <property fmtid="{D5CDD505-2E9C-101B-9397-08002B2CF9AE}" pid="24" name="Mendeley Citation Style_1">
    <vt:lpwstr>http://www.zotero.org/styles/chicago-author-date</vt:lpwstr>
  </property>
</Properties>
</file>