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Prompt: “Này ChatGPT hãy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ải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ích quá trình quang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ợp của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ây xanh theo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ừng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ớc chi tiết, giống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ột chuỗi gọi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àm (step-by-step). Minh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ọa bằng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ơ 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ồ ASCII thể hiện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ánh sáng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ệp lục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ản ứng tạo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ăng lư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ợng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ạo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ờng (glucose),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ãy tìm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ểu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úp tôi thêm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ề kỹ thuật “Truy vết từng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ớc”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ó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ải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ùng trong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ập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ình hay không hay còn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ể sử dụng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ể học “quy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ình ””.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ết quả AI:</w:t>
      </w:r>
    </w:p>
    <w:tbl>
      <w:tblPr/>
      <w:tblGrid>
        <w:gridCol w:w="3120"/>
        <w:gridCol w:w="3120"/>
        <w:gridCol w:w="3120"/>
      </w:tblGrid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779" w:dyaOrig="1763">
                <v:rect xmlns:o="urn:schemas-microsoft-com:office:office" xmlns:v="urn:schemas-microsoft-com:vml" id="rectole0000000000" style="width:138.950000pt;height:88.1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779" w:dyaOrig="2444">
                <v:rect xmlns:o="urn:schemas-microsoft-com:office:office" xmlns:v="urn:schemas-microsoft-com:vml" id="rectole0000000001" style="width:138.950000pt;height:122.2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044" w:dyaOrig="2779">
                <v:rect xmlns:o="urn:schemas-microsoft-com:office:office" xmlns:v="urn:schemas-microsoft-com:vml" id="rectole0000000002" style="width:102.200000pt;height:138.95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</w:tc>
      </w:tr>
      <w:tr>
        <w:trPr>
          <w:trHeight w:val="300" w:hRule="auto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779" w:dyaOrig="1627">
                <v:rect xmlns:o="urn:schemas-microsoft-com:office:office" xmlns:v="urn:schemas-microsoft-com:vml" id="rectole0000000003" style="width:138.950000pt;height:81.35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721" w:dyaOrig="2779">
                <v:rect xmlns:o="urn:schemas-microsoft-com:office:office" xmlns:v="urn:schemas-microsoft-com:vml" id="rectole0000000004" style="width:136.050000pt;height:138.95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      </w:objec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779" w:dyaOrig="1512">
                <v:rect xmlns:o="urn:schemas-microsoft-com:office:office" xmlns:v="urn:schemas-microsoft-com:vml" id="rectole0000000005" style="width:138.950000pt;height:75.60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      </w:objec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