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Noto Sans CJK SC" w:hAnsi="Noto Sans CJK SC" w:eastAsia="Noto Sans CJK SC"/>
          <w:b/>
          <w:color w:val="5B2400"/>
          <w:sz w:val="56"/>
        </w:rPr>
        <w:t>《与神对话》</w:t>
      </w:r>
    </w:p>
    <w:p>
      <w:pPr>
        <w:jc w:val="center"/>
      </w:pPr>
      <w:r>
        <w:rPr>
          <w:rFonts w:ascii="Noto Sans CJK SC" w:hAnsi="Noto Sans CJK SC" w:eastAsia="Noto Sans CJK SC"/>
          <w:b/>
          <w:color w:val="8A4F00"/>
          <w:sz w:val="32"/>
        </w:rPr>
        <w:t>Codex 制作需求文档｜最终流程版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F5A32"/>
          <w:sz w:val="20"/>
        </w:rPr>
        <w:t>根据最新 UI 总览图与后续逐页确认整理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E7C6"/>
          </w:tcPr>
          <w:p>
            <w:r>
              <w:rPr>
                <w:rFonts w:ascii="Noto Sans CJK SC" w:hAnsi="Noto Sans CJK SC" w:eastAsia="Noto Sans CJK SC"/>
                <w:b/>
                <w:color w:val="4A2E00"/>
                <w:sz w:val="20"/>
              </w:rPr>
              <w:t>版本说明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本文件只保留最终确认过的流程、页面、动效与素材要求。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中途被否定的旧逻辑不再作为开发依据。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视觉样式一律以用户最新上传的 UI 总览图和后续单页设计稿为准。</w:t>
            </w:r>
            <w:r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一、最终核心流程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1. 首页：与神对话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2. 点击「开始」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3. i神 / e神 入口页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4. 选择 i神 或 e神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5. 进入对应 MBTI 选择页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6. 点击某个 MBTI 标签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7. 进入神明详情确认页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8. 点击「选择祂」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9. 进入提问页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10. 输入问题并点击确认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11. 进入签文指示页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12. 选择「认可」或「我要验牌」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13. 认可：进入最终保存卡页面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14. 我要验牌：进入茭杯动画页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15. 茭杯动画结束后进入茭杯结果页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16. 无论阴杯 / 阳杯 / 笑杯，结果页都显示「认可」和「再来一次」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17. 点击「认可」：进入最终保存卡页面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18. 点击「再来一次」：同一位神明重新抽取一支新签文，回到签文指示页，并重新播放签文飞入动画</w:t>
      </w:r>
    </w:p>
    <w:p>
      <w:pPr>
        <w:ind w:left="113"/>
      </w:pPr>
      <w:r>
        <w:rPr>
          <w:rFonts w:ascii="Noto Sans CJK SC" w:hAnsi="Noto Sans CJK SC" w:eastAsia="Noto Sans CJK SC"/>
          <w:sz w:val="20"/>
        </w:rPr>
        <w:t>19. 最终保存卡页面：长按保存图片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1D6"/>
          </w:tcPr>
          <w:p>
            <w:r>
              <w:rPr>
                <w:rFonts w:ascii="Noto Sans CJK SC" w:hAnsi="Noto Sans CJK SC" w:eastAsia="Noto Sans CJK SC"/>
                <w:b/>
                <w:color w:val="4A2E00"/>
                <w:sz w:val="20"/>
              </w:rPr>
              <w:t>关键更正</w:t>
              <w:br/>
              <w:t>1. 不是直接进入 16 个 MBTI 总选择页，而是先进入 i神 / e神 入口页。</w:t>
              <w:br/>
              <w:t>2. 第八页茭杯结果页不显示“重新开始”。</w:t>
              <w:br/>
              <w:t>3. 第八页无论出现阴杯、阳杯还是笑杯，都显示“认可”和“再来一次”。</w:t>
              <w:br/>
              <w:t>4. “再来一次”是重新抽签文：保留当前神明与用户问题，重新抽取一支新签文，并回到签文指示页。</w:t>
              <w:br/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</w:p>
        </w:tc>
      </w:tr>
    </w:tbl>
    <w:p/>
    <w:p>
      <w:pPr>
        <w:pStyle w:val="Heading1"/>
      </w:pPr>
      <w:r>
        <w:t>二、页面 / 状态拆分</w:t>
      </w:r>
    </w:p>
    <w:p>
      <w:r>
        <w:rPr>
          <w:rFonts w:ascii="Noto Sans CJK SC" w:hAnsi="Noto Sans CJK SC" w:eastAsia="Noto Sans CJK SC"/>
          <w:sz w:val="20"/>
        </w:rPr>
        <w:t>这里的“页面 / 状态”是给 Codex 实现时的视觉状态拆分，不代表一定要做成独立路由。i神选择页和 e神选择页可以复用同一套组件，只切换数据与背景。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6B3F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 / 状态</w:t>
            </w:r>
          </w:p>
        </w:tc>
        <w:tc>
          <w:tcPr>
            <w:tcW w:type="dxa" w:w="3400"/>
            <w:shd w:fill="6B3F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400"/>
            <w:shd w:fill="6B3F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交互去向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01 首页：与神对话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最新 UI 首页主视觉：一群神仙环绕，中间主题“与神对话”，底部开始按钮。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点击开始 → 02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02 i神 / e神 入口页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两个有硬度的册子：i神、e神。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 i神 → 03；点 e神 → 04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03 i神 MBTI 选择页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i神组 MBTI 牌子，牌子只显示 MBTI。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点某 MBTI → 05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04 e神 MBTI 选择页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e神组 MBTI 牌子，牌子只显示 MBTI。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点某 MBTI → 05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05 神明详情确认页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吊牌式神明卡，可左右滑动切换同组其他神明。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点选择祂 → 06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06 提问页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上方神明舞台 / 神龛，中间问题输入框，底部确认按钮。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点确认 → 07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07 签文指示页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蓝色背景 + 黄色竖向签文纸，底部“认可 / 我要验牌”。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认可 → 09；我要验牌 → 08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08 茭杯动画页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显示茭杯动画与“虔诚中”状态。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动画结束 → 09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09 茭杯结果页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保留签文，上方/中部为签文，下方为结果卡，三种杯型都可认可或再来一次。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t>认可 → 10；再来一次 → 07（重新抽新签）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最终保存卡页面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粉色吊牌式保存卡，提示长按保存图片。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长按保存；右上角返回上一级</w:t>
            </w:r>
          </w:p>
        </w:tc>
      </w:tr>
    </w:tbl>
    <w:p/>
    <w:p>
      <w:pPr>
        <w:pStyle w:val="Heading1"/>
      </w:pPr>
      <w:r>
        <w:t>三、逐页制作要求</w:t>
      </w:r>
    </w:p>
    <w:p>
      <w:pPr>
        <w:pStyle w:val="Heading2"/>
      </w:pPr>
      <w:r>
        <w:t>01｜首页：与神对话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视觉：完全按照最新 UI 第一页还原；画面是一群神仙环绕，中间是主题“与神对话”，底部是“开始”按钮。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不要再写“两个内容板块合并”等旧需求。首页就是一个完整主视觉页面。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用户打开网址后，不要瞬间完整显示所有元素，而是按顺序出现。</w:t>
      </w:r>
    </w:p>
    <w:p>
      <w:pPr>
        <w:pStyle w:val="Heading3"/>
      </w:pPr>
      <w:r>
        <w:t>首页动效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16 位神仙围绕一圈，按环形位置依次 / 渐次出现。出现方式可以是轻微淡入 + 位移落定。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中间主题字“与神对话”随后渐显。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标题出现后，“开始”按钮最后出现。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开始按钮点击时给轻微缩放 / 发光反馈，再进入第二页。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这一页建议提前准备动效参考视频或 GIF，Codex 以该参考还原节奏。</w:t>
      </w:r>
    </w:p>
    <w:p>
      <w:pPr>
        <w:pStyle w:val="Heading3"/>
      </w:pPr>
      <w:r>
        <w:t>首页素材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16 位神仙分别导出为透明背景 PNG，尺寸与视觉比例尽量统一。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不要只导出“完整一圈神仙”的合成图，否则无法实现一个一个出现的动效。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额外导出一张首页完整静态参考图，用于 Codex 定位。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额外提供首页开场动效参考视频 / GIF，重点表达“神仙依次出现 → 标题渐显 → 按钮出现”。</w:t>
      </w:r>
    </w:p>
    <w:p>
      <w:pPr>
        <w:pStyle w:val="Heading2"/>
      </w:pPr>
      <w:r>
        <w:t>02｜i神 / e神 入口页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视觉：两张类似册子的入口卡片，分别为 i神 和 e神。它们不是符纸，而是有一定硬度的册子。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进入页面时，两个册子可以从上方轻微下落，但不要做成轻飘飘的符纸效果。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点击哪个册子，哪个册子轻微放大并轻微晃动，然后进入对应 MBTI 选择页。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i神 / e神 页面动效不复杂，不需要单独做动效参考视频。</w:t>
      </w:r>
    </w:p>
    <w:p>
      <w:pPr>
        <w:pStyle w:val="Heading3"/>
      </w:pPr>
      <w:r>
        <w:t>入口页素材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i神册子透明 PNG / SVG。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e神册子透明 PNG / SVG。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第二页完整静态 UI 参考图。</w:t>
      </w:r>
    </w:p>
    <w:p>
      <w:pPr>
        <w:pStyle w:val="Heading2"/>
      </w:pPr>
      <w:r>
        <w:t>03 / 04｜i神、e神 MBTI 选择页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第三页是 i神组 MBTI 选择页，第四页是 e神组 MBTI 选择页；两页可复用一套代码，只切换分组、颜色和素材。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顶部不显示旧版大标题：QUANZHOU ORACLE / 泉州 MBTI 神明答案之书 / 焚一炷心香。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页面上方的固定文案，如“选择你的神明朋友进行对话”，如果使用方正古隶等特殊字体且文案不改，建议转曲导出 SVG，不要依赖网页加载字体。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MBTI 牌子只显示 MBTI，例如 INTJ、ENTJ、INFJ，不显示神明名称、称号和简介。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牌子布局严格按照最新 UI 图，不要改成普通表格感。</w:t>
      </w:r>
    </w:p>
    <w:p>
      <w:pPr>
        <w:pStyle w:val="Heading3"/>
      </w:pPr>
      <w:r>
        <w:t>进入动效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从第二页点击 i神 / e神 后，对应 MBTI 牌子一块一块快速错落出现。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牌子可以从微微偏下的位置向上弹一点点，然后落定。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这个动效 Codex 可直接实现，不需要提前制作动效视频。</w:t>
      </w:r>
    </w:p>
    <w:p>
      <w:pPr>
        <w:pStyle w:val="Heading3"/>
      </w:pPr>
      <w:r>
        <w:t>点击动效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点击某张 MBTI 牌子时，该牌子轻微放大。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随后做一个短暂、丝滑的闪屏 / 过场。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不要在这一页做放大后的神明预览；神明正式出场在下一页。</w:t>
      </w:r>
    </w:p>
    <w:p>
      <w:pPr>
        <w:pStyle w:val="Heading2"/>
      </w:pPr>
      <w:r>
        <w:t>05｜神明详情确认页：吊牌 + 叠卡滑动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这一页是神明正式亮相页面，用吊牌 / 标签页形式展示当前神明。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页面中间是一张清晰主卡，背后叠放两张更简化、更虚化的卡片，用来暗示可以左右滑动切换。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背后两张卡片的颜色要跟随相邻神明的主色，不是固定颜色。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点击“选择祂”后进入提问页。</w:t>
      </w:r>
    </w:p>
    <w:p>
      <w:pPr>
        <w:pStyle w:val="Heading3"/>
      </w:pPr>
      <w:r>
        <w:t>滑动逻辑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从 i神选择页进入时，默认在 i神分组内按神明排序左右滑动。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从 e神选择页进入时，默认在 e神分组内按神明排序左右滑动。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用户向左 / 向右滑动时，主卡滑出，后方相邻卡片顶上来、放大并变清晰。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主卡下方的“选择祂”始终对应当前居中的神明。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如果后续想跨 i神 / e神 全 16 位滑动，需要另行确认；当前建议按进入分组滑动。</w:t>
      </w:r>
    </w:p>
    <w:p>
      <w:pPr>
        <w:pStyle w:val="Heading3"/>
      </w:pPr>
      <w:r>
        <w:t>第四页素材 / 参考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每位神明一张完整主标签透明 PNG，或提供分层素材让 Codex 动态组合。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神明排序表：列出当前分组里每位神明的顺序、MBTI、神明名、主色。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第四页完整静态参考图，用于确定主卡、背后两张卡、按钮和背景的位置。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建议找一个类似“叠卡左右滑动”的现成动效录屏作为参考；只参考运动节奏，不参考视觉风格。</w:t>
      </w:r>
    </w:p>
    <w:p>
      <w:pPr>
        <w:pStyle w:val="Heading2"/>
      </w:pPr>
      <w:r>
        <w:t>06｜提问页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提问页保留上方神明舞台 / 神龛视觉展示区，不要做成纯表单页。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中间是问题输入框，底部是确认按钮。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从神明详情页进入提问页时，用非常短、非常轻的淡入过场，不抢戏。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输入框为空时显示浅灰色占位提示，例如“在这里写下你想问的问题”。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用户开始输入后，占位文字消失，显示用户输入文字。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建议准备两张状态图：空状态、已输入状态。已输入状态用于规定字体、字号、颜色、行距和换行。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确认按钮在没有输入内容时不应直接通过；有内容后再进入签文指示页。</w:t>
      </w:r>
    </w:p>
    <w:p>
      <w:pPr>
        <w:pStyle w:val="Heading3"/>
      </w:pPr>
      <w:r>
        <w:t>第五页素材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提问页完整空状态 UI 图。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提问页已输入状态 UI 图。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神明舞台 / 神龛框素材。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输入框背景 / 边框素材。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确认按钮素材。</w:t>
      </w:r>
    </w:p>
    <w:p>
      <w:pPr>
        <w:pStyle w:val="Heading2"/>
      </w:pPr>
      <w:r>
        <w:t>07｜签文指示页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点击提问页确认后，进入签文指示页。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视觉为蓝色背景 + 黄色竖向签文纸，按最新 UI 图还原。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神明指示使用竖排文字，接近签纸排版。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底部按钮为“认可”和“我要验牌”。注意：最终文案是“我要验牌”，不是“我要茭杯”。</w:t>
      </w:r>
    </w:p>
    <w:p>
      <w:pPr>
        <w:pStyle w:val="Heading3"/>
      </w:pPr>
      <w:r>
        <w:t>签文页动效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签文纸从下方往上快速窜入。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签文纸可以略微超过最终位置，然后轻轻回落定格。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签文纸定格后，底部“认可”和“我要验牌”按钮稍晚一点淡入。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该动效 Codex 可根据文字说明实现，不强制提供动效参考。</w:t>
      </w:r>
    </w:p>
    <w:p>
      <w:pPr>
        <w:pStyle w:val="Heading3"/>
      </w:pPr>
      <w:r>
        <w:t>签文页分流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点击“认可” → 进入最终保存卡页面。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点击“我要验牌” → 进入茭杯动画页，对当前这支签文进行验证。</w:t>
      </w:r>
    </w:p>
    <w:p>
      <w:pPr>
        <w:pStyle w:val="Heading2"/>
      </w:pPr>
      <w:r>
        <w:t>08｜茭杯动画页：虔诚中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页面显示“虔诚中”状态。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中间显示红色茭杯图形。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进入页面后播放掷茭杯动画，不需要用户再次操作。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动画结束后自动进入茭杯结果页。</w:t>
      </w:r>
    </w:p>
    <w:p>
      <w:pPr>
        <w:pStyle w:val="Heading3"/>
      </w:pPr>
      <w:r>
        <w:t>茭杯动画建议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茭杯先出现并稍停。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随后向上抛起、翻转、落下。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落下时有一点弹跳，最后定住。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页面中“虔诚中”和等待点可以做循环闪烁。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第七页建议准备一个类似“物体抛起翻转落下”的动效参考录屏；只参考运动方式和节奏，视觉以你的 UI 为准。</w:t>
      </w:r>
    </w:p>
    <w:p>
      <w:pPr>
        <w:pStyle w:val="Heading2"/>
      </w:pPr>
      <w:r>
        <w:t>09｜茭杯结果页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茭杯动画结束后，随机出现三种结果之一：阴杯、阳杯、笑杯。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茭杯结果页保留当前签文，不要丢掉签文内容。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结果页显示对应杯型、结果文字和说明。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不显示“重新开始”按钮。</w:t>
      </w:r>
    </w:p>
    <w:p>
      <w:pPr>
        <w:pStyle w:val="Heading3"/>
      </w:pPr>
      <w:r>
        <w:t>最新确认的按钮规则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无论结果是阴杯、阳杯还是笑杯，都同时显示两个按钮：认可、再来一次。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点击“认可” → 进入最终保存卡页面。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点击“再来一次” → 同一位神明为当前问题重新抽取一支新签文，回到签文指示页。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“再来一次”需要重新抽签文；保留当前神明与用户问题，清空本次茭杯结果。新的签文仍然可以继续选择“认可”或“我要验牌”。</w:t>
      </w:r>
    </w:p>
    <w:p>
      <w:pPr>
        <w:pStyle w:val="Heading2"/>
      </w:pPr>
      <w:r>
        <w:t>10｜最终保存卡页面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最终页是粉色吊牌式保存卡，和前面的黄色签文纸不是同一种视觉。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这是整个流程的成果页，用户可以长按保存图片。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进入方式有两种：签文页点击认可；茭杯结果页点击认可。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如果是从签文页直接认可，确认方式可显示“直接认可”。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如果是从茭杯结果页认可，确认方式可显示“验牌后认可”，并可记录当时杯型：阴杯 / 阳杯 / 笑杯。</w:t>
      </w:r>
    </w:p>
    <w:p>
      <w:pPr>
        <w:pStyle w:val="Heading3"/>
      </w:pPr>
      <w:r>
        <w:t>保存页动效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粉色吊牌从上方缓缓落下。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落下后轻轻晃动，像被挂好一样，随后定格。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动画结束后，底部“长按保存图片”提示淡入。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最终页很重要，建议准备一段参考动效；如果没有，也可以用文字说明让 Codex 实现。</w:t>
      </w:r>
    </w:p>
    <w:p>
      <w:pPr>
        <w:pStyle w:val="Heading3"/>
      </w:pPr>
      <w:r>
        <w:t>保存页内容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神明形象。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MBTI。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神明名称。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用户问题。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神明指示。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确认方式：直接认可 / 验牌后认可（可附杯型）。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底部提示：长按保存图片。</w:t>
      </w:r>
    </w:p>
    <w:p>
      <w:pPr>
        <w:pStyle w:val="Heading1"/>
      </w:pPr>
      <w:r>
        <w:t>四、统一返回按钮：右上角八边形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右上角八边形不是“回到首页”，而是“返回上一级”。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建议单独导出为透明 PNG 或 SVG，作为全局复用按钮。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不建议直接写“返回”两个字，避免破坏视觉；可以通过细高光、阴影、立体感和点击反馈让它更像按钮。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点击时给轻微缩小再弹回的反馈。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默认不加弹窗；如果后续担心关键步骤误触，可只在签文页 / 结果页 / 保存页加轻确认，这一点暂时作为待确认项。</w:t>
      </w:r>
    </w:p>
    <w:p>
      <w:pPr>
        <w:pStyle w:val="Heading1"/>
      </w:pPr>
      <w:r>
        <w:t>五、文字与字体处理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固定不改的标题、装饰文案，如果使用方正古隶等特殊字体，建议在设计软件中转曲后导出 SVG。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不要把字体包直接交给 Codex，除非确认有网页嵌入授权。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用户输入的文字、签文内容、结果说明等动态文字必须由代码渲染，不能导成图片。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输入框要准备空状态和已输入状态两张参考图，用来确认输入文字样式。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动态文字的字号、颜色、行距、换行规则需要写在 UI 规范中。</w:t>
      </w:r>
    </w:p>
    <w:p>
      <w:pPr>
        <w:pStyle w:val="Heading1"/>
      </w:pPr>
      <w:r>
        <w:t>六、你需要准备的素材清单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6B3F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00"/>
            <w:shd w:fill="6B3F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需要准备的文件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首页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 位神仙透明 PNG；首页完整静态图；首页开场动效参考视频/GIF。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入口页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i神册子 PNG/SVG；e神册子 PNG/SVG；第二页完整静态图。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MBTI 选择页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i神组选择页静态图；e神组选择页静态图；固定标题文案 SVG；MBTI 牌子底图。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神明详情页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每位神明完整主吊牌 PNG 或分层素材；神明排序与颜色表；叠卡滑动参考视频。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提问页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空状态 UI 图；已输入状态 UI 图；神龛/舞台框；输入框和确认按钮素材。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签文页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黄色签文纸底图；认可按钮；我要验牌按钮；签文页完整静态图。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茭杯动画页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茭杯图形素材；光晕/等待点素材；抛杯动效参考。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茭杯结果页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三种结果对应茭杯图形；结果卡底图；阴杯/阳杯/笑杯文案。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保存页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粉色保存吊牌卡底图；最终页静态图；最终页吊牌落下晃动参考。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全局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右上角八边形返回按钮 PNG/SVG；通用按钮样式；装饰花纹/挂绳/印章。</w:t>
            </w:r>
          </w:p>
        </w:tc>
      </w:tr>
    </w:tbl>
    <w:p/>
    <w:p>
      <w:pPr>
        <w:pStyle w:val="Heading1"/>
      </w:pPr>
      <w:r>
        <w:t>七、动效参考优先级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D7D7"/>
          </w:tcPr>
          <w:p>
            <w:r>
              <w:rPr>
                <w:rFonts w:ascii="Noto Sans CJK SC" w:hAnsi="Noto Sans CJK SC" w:eastAsia="Noto Sans CJK SC"/>
                <w:b/>
                <w:color w:val="4A2E00"/>
                <w:sz w:val="20"/>
              </w:rPr>
              <w:t>建议必须准备或尽量准备的动效参考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1. 首页开场：神仙环形依次出现 → 标题渐显 → 按钮出现。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2. 神明详情页叠卡滑动：主卡滑走，后卡顶上来、放大、变清晰。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3. 茭杯动画页：茭杯抛起、翻转、落下、弹跳、定格。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4. 最终保存页：粉色吊牌从上落下、轻微晃动、定格。</w:t>
            </w:r>
            <w:r>
              <w:br/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2FF"/>
          </w:tcPr>
          <w:p>
            <w:r>
              <w:rPr>
                <w:rFonts w:ascii="Noto Sans CJK SC" w:hAnsi="Noto Sans CJK SC" w:eastAsia="Noto Sans CJK SC"/>
                <w:b/>
                <w:color w:val="4A2E00"/>
                <w:sz w:val="20"/>
              </w:rPr>
              <w:t>不需要提前做动效视频的部分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1. i神/e神入口页点击放大和轻晃。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2. MBTI 牌子错落出现和点击轻微放大。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3. 提问页短淡入。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4. 签文纸从下往上窜入、过冲回落、按钮延迟淡入。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  <w:t>这些可以直接让 Codex 用 CSS/前端动画实现。</w:t>
            </w:r>
            <w:r>
              <w:br/>
            </w:r>
          </w:p>
        </w:tc>
      </w:tr>
    </w:tbl>
    <w:p/>
    <w:p>
      <w:pPr>
        <w:pStyle w:val="Heading1"/>
      </w:pPr>
      <w:r>
        <w:t>八、建议交付包目录结构</w:t>
      </w:r>
    </w:p>
    <w:p>
      <w:r>
        <w:rPr>
          <w:rFonts w:ascii="Noto Sans CJK SC" w:hAnsi="Noto Sans CJK SC" w:eastAsia="Noto Sans CJK SC"/>
          <w:sz w:val="16"/>
        </w:rPr>
        <w:t>与神对话_Codex交付包/</w:t>
        <w:br/>
        <w:t xml:space="preserve">  00-流程说明/</w:t>
        <w:br/>
        <w:t xml:space="preserve">    latest-ui-flow.md</w:t>
        <w:br/>
        <w:t xml:space="preserve">    ui-overview.jpg</w:t>
        <w:br/>
        <w:t xml:space="preserve">    corrected-flowchart.png</w:t>
        <w:br/>
        <w:br/>
        <w:t xml:space="preserve">  01-页面参考图/</w:t>
        <w:br/>
        <w:t xml:space="preserve">    01-home.png</w:t>
        <w:br/>
        <w:t xml:space="preserve">    02-i-e-entry.png</w:t>
        <w:br/>
        <w:t xml:space="preserve">    03-i-mbti-select.png</w:t>
        <w:br/>
        <w:t xml:space="preserve">    04-e-mbti-select.png</w:t>
        <w:br/>
        <w:t xml:space="preserve">    05-deity-detail.png</w:t>
        <w:br/>
        <w:t xml:space="preserve">    06-question-empty.png</w:t>
        <w:br/>
        <w:t xml:space="preserve">    06-question-filled.png</w:t>
        <w:br/>
        <w:t xml:space="preserve">    07-oracle-paper.png</w:t>
        <w:br/>
        <w:t xml:space="preserve">    08-cup-loading.png</w:t>
        <w:br/>
        <w:t xml:space="preserve">    09-cup-result-yang.png</w:t>
        <w:br/>
        <w:t xml:space="preserve">    09-cup-result-yin.png</w:t>
        <w:br/>
        <w:t xml:space="preserve">    09-cup-result-smile.png</w:t>
        <w:br/>
        <w:t xml:space="preserve">    10-save-card.png</w:t>
        <w:br/>
        <w:br/>
        <w:t xml:space="preserve">  02-视觉素材/</w:t>
        <w:br/>
        <w:t xml:space="preserve">    home/</w:t>
        <w:br/>
        <w:t xml:space="preserve">    entry/</w:t>
        <w:br/>
        <w:t xml:space="preserve">    mbti/</w:t>
        <w:br/>
        <w:t xml:space="preserve">    deities/</w:t>
        <w:br/>
        <w:t xml:space="preserve">    question/</w:t>
        <w:br/>
        <w:t xml:space="preserve">    oracle/</w:t>
        <w:br/>
        <w:t xml:space="preserve">    cup/</w:t>
        <w:br/>
        <w:t xml:space="preserve">    save/</w:t>
        <w:br/>
        <w:t xml:space="preserve">    global/</w:t>
        <w:br/>
        <w:br/>
        <w:t xml:space="preserve">  03-动效参考/</w:t>
        <w:br/>
        <w:t xml:space="preserve">    01-home-opening.mp4</w:t>
        <w:br/>
        <w:t xml:space="preserve">    05-card-swipe-reference.mp4</w:t>
        <w:br/>
        <w:t xml:space="preserve">    08-cup-toss-reference.mp4</w:t>
        <w:br/>
        <w:t xml:space="preserve">    10-save-card-drop-reference.mp4</w:t>
        <w:br/>
        <w:br/>
        <w:t xml:space="preserve">  04-数据表/</w:t>
        <w:br/>
        <w:t xml:space="preserve">    deities-order-and-color.xlsx</w:t>
        <w:br/>
        <w:t xml:space="preserve">    deity-copywriting.xlsx</w:t>
        <w:br/>
      </w:r>
    </w:p>
    <w:p>
      <w:pPr>
        <w:pStyle w:val="Heading1"/>
      </w:pPr>
      <w:r>
        <w:t>九、给 Codex 的最终开发指令</w:t>
      </w:r>
    </w:p>
    <w:p>
      <w:r>
        <w:rPr>
          <w:rFonts w:ascii="Noto Sans CJK SC" w:hAnsi="Noto Sans CJK SC" w:eastAsia="Noto Sans CJK SC"/>
          <w:sz w:val="20"/>
        </w:rPr>
        <w:t>以下文本可以作为后续给 Codex 的总指令。真实素材接入时，把素材包一并上传。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E7D6"/>
          </w:tcPr>
          <w:p>
            <w:r>
              <w:rPr>
                <w:rFonts w:ascii="Noto Sans CJK SC" w:hAnsi="Noto Sans CJK SC" w:eastAsia="Noto Sans CJK SC"/>
                <w:b/>
                <w:color w:val="4A2E00"/>
                <w:sz w:val="20"/>
              </w:rPr>
              <w:t>Codex 指令正文</w:t>
              <w:br/>
              <w:t>请严格按照我最新上传的 UI 总览图和本流程文档，重构《与神对话》的前端页面流程。不要使用中途旧版的流程。视觉以 UI 图为准，本文档负责说明交互、动效和页面状态。</w:t>
              <w:br/>
              <w:br/>
              <w:t>最终流程：</w:t>
              <w:br/>
              <w:t>首页 → 点击开始 → i神/e神入口页 → 点击 i神 或 e神 → 对应 MBTI 选择页 → 点击 MBTI 牌子 → 神明详情确认页 → 点击“选择祂” → 提问页 → 输入问题并点击确认 → 签文指示页 → 点击“认可”进入最终保存卡页面；或点击“我要验牌”进入茭杯动画页 → 动画结束进入茭杯结果页 → 无论阴杯/阳杯/笑杯，结果页都显示“认可”和“再来一次” → 点击“认可”进入最终保存卡页面 → 点击“再来一次”时，保留当前神明与用户问题，重新抽取一支新签文，回到签文指示页，并清空本次茭杯结果。</w:t>
              <w:br/>
              <w:br/>
              <w:t>页面要求：</w:t>
              <w:br/>
              <w:t>1. 首页按最新 UI 第一页做完整主视觉：神仙环绕、标题“与神对话”、开始按钮。打开网址后，神仙依次出现，标题渐显，按钮最后出现。</w:t>
              <w:br/>
              <w:t>2. 第二页是 i神/e神入口页，两张卡片是有硬度的册子，不是符纸。进入时轻微下落，点击时轻微放大和晃动。</w:t>
              <w:br/>
              <w:t>3. i神/e神 MBTI 选择页移除旧顶部大版头。MBTI 牌子只显示 MBTI，不显示神明信息。进入时牌子错落出现，点击牌子轻微放大并短闪屏过渡。</w:t>
              <w:br/>
              <w:t>4. 神明详情页是吊牌式叠卡结构，主卡清晰，背后两张虚化简化卡根据相邻神明颜色自动更新。支持左右滑动切换同分组神明。点击“选择祂”进入提问页。</w:t>
              <w:br/>
              <w:t>5. 提问页保留神明舞台/神龛视觉，中间输入框，底部确认按钮。输入框有灰色占位文字，输入后显示用户文字。无输入时确认按钮不能通过。</w:t>
              <w:br/>
              <w:t>6. 签文指示页是蓝色背景加黄色竖向签文纸。签文从下往上窜入，微过冲回落定格，按钮稍晚淡入。按钮文案为“认可”和“我要验牌”。</w:t>
              <w:br/>
              <w:t>7. 点击“认可”直接进入最终保存卡页面。</w:t>
              <w:br/>
              <w:t>8. 点击“我要验牌”进入茭杯动画页。茭杯动画页显示“虔诚中”，播放茭杯抛起、翻转、落下、弹跳、定格动画，随后自动进入茭杯结果页。</w:t>
              <w:br/>
              <w:t>9. 茭杯结果页保留当前签文，显示阴杯/阳杯/笑杯三种随机结果之一。结果页不显示“重新开始”。无论哪种结果，都显示“认可”和“再来一次”。点击“认可”进入最终保存卡页面；点击“再来一次”时，保留当前神明与用户问题，重新抽取一支新签文，回到签文指示页，并清空本次茭杯结果。</w:t>
              <w:br/>
              <w:t>10. 最终保存卡页面是粉色吊牌式结果卡，从上方落下并轻微晃动定格。显示神明形象、MBTI、神明名称、用户问题、神明指示、确认方式，并提示“长按保存图片”。</w:t>
              <w:br/>
              <w:t>11. 右上角八边形统一作为“返回上一级”按钮，不是回到首页。请作为全局可复用按钮处理，有点击反馈。</w:t>
              <w:br/>
              <w:t>12. 保留原有随机抽签逻辑和茭杯概率逻辑。</w:t>
              <w:br/>
              <w:t>13. 保持移动端优先适配。</w:t>
              <w:br/>
              <w:t>14. 第一版可先使用图片占位，真实素材后续接入。</w:t>
              <w:br/>
              <w:br/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  <w:r>
              <w:rPr>
                <w:rFonts w:ascii="Noto Sans CJK SC" w:hAnsi="Noto Sans CJK SC" w:eastAsia="Noto Sans CJK SC"/>
                <w:b w:val="0"/>
                <w:color w:val="2A210C"/>
                <w:sz w:val="18"/>
              </w:rPr>
            </w:r>
            <w:r/>
          </w:p>
        </w:tc>
      </w:tr>
    </w:tbl>
    <w:p/>
    <w:p>
      <w:pPr>
        <w:pStyle w:val="Heading1"/>
      </w:pPr>
      <w:r>
        <w:t>十、下一步执行清单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先导出首页 16 位神仙透明 PNG。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导出首页完整静态图和首页开场动效参考。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导出 i神 / e神 两个册子素材。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整理 i神组、e神组的 MBTI 顺序与神明对应关系。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导出第四页每位神明主吊牌 PNG，整理对应颜色表。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找一段叠卡左右滑动动效参考，备注“只参考动效，不参考视觉”。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导出第五页空状态和已输入状态。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准备签文纸、茭杯、结果页、保存页素材。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找茭杯抛落动效参考和最终保存卡落下晃动参考。</w:t>
      </w:r>
    </w:p>
    <w:p>
      <w:pPr>
        <w:pStyle w:val="ListBullet"/>
        <w:spacing w:after="40"/>
        <w:ind w:left="340"/>
      </w:pPr>
      <w:r>
        <w:rPr>
          <w:rFonts w:ascii="Noto Sans CJK SC" w:hAnsi="Noto Sans CJK SC" w:eastAsia="Noto Sans CJK SC"/>
          <w:sz w:val="20"/>
        </w:rPr>
        <w:t>把本文件与素材包一起交给 Codex。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《与神对话》Codex 制作需求文档｜最终流程版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C35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84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95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