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AE511" w14:textId="77777777" w:rsidR="00954416" w:rsidRPr="00954416" w:rsidRDefault="00954416" w:rsidP="00954416">
      <w:pPr>
        <w:jc w:val="center"/>
        <w:rPr>
          <w:rFonts w:ascii="Times New Roman" w:hAnsi="Times New Roman" w:cs="Times New Roman"/>
          <w:b/>
          <w:bCs/>
          <w:sz w:val="28"/>
          <w:szCs w:val="28"/>
        </w:rPr>
      </w:pPr>
      <w:r w:rsidRPr="00954416">
        <w:rPr>
          <w:rFonts w:ascii="Times New Roman" w:hAnsi="Times New Roman" w:cs="Times New Roman"/>
          <w:b/>
          <w:bCs/>
          <w:sz w:val="28"/>
          <w:szCs w:val="28"/>
        </w:rPr>
        <w:t xml:space="preserve">Reading Note of </w:t>
      </w:r>
      <w:r w:rsidR="00BA7492">
        <w:rPr>
          <w:rFonts w:ascii="Times New Roman" w:hAnsi="Times New Roman" w:cs="Times New Roman"/>
          <w:b/>
          <w:bCs/>
          <w:sz w:val="28"/>
          <w:szCs w:val="28"/>
        </w:rPr>
        <w:t xml:space="preserve">the </w:t>
      </w:r>
      <w:r w:rsidRPr="00954416">
        <w:rPr>
          <w:rFonts w:ascii="Times New Roman" w:hAnsi="Times New Roman" w:cs="Times New Roman"/>
          <w:b/>
          <w:bCs/>
          <w:sz w:val="28"/>
          <w:szCs w:val="28"/>
        </w:rPr>
        <w:t>Paper entitled “Gender Gaps in Performance: Evidence from Young Lawyers”</w:t>
      </w:r>
    </w:p>
    <w:p w14:paraId="17028F13" w14:textId="77777777" w:rsidR="00954416" w:rsidRPr="00954416" w:rsidRDefault="00954416" w:rsidP="00954416">
      <w:pPr>
        <w:jc w:val="center"/>
        <w:rPr>
          <w:rFonts w:ascii="Times New Roman" w:hAnsi="Times New Roman" w:cs="Times New Roman"/>
          <w:sz w:val="26"/>
          <w:szCs w:val="26"/>
        </w:rPr>
      </w:pPr>
      <w:r w:rsidRPr="00954416">
        <w:rPr>
          <w:rFonts w:ascii="Times New Roman" w:hAnsi="Times New Roman" w:cs="Times New Roman"/>
          <w:sz w:val="26"/>
          <w:szCs w:val="26"/>
        </w:rPr>
        <w:t>2021-class Duke MAPE student</w:t>
      </w:r>
    </w:p>
    <w:p w14:paraId="583793D5" w14:textId="77777777" w:rsidR="00954416" w:rsidRDefault="00954416" w:rsidP="00954416">
      <w:pPr>
        <w:jc w:val="center"/>
        <w:rPr>
          <w:rFonts w:ascii="Times New Roman" w:hAnsi="Times New Roman" w:cs="Times New Roman"/>
          <w:sz w:val="26"/>
          <w:szCs w:val="26"/>
        </w:rPr>
      </w:pPr>
      <w:r w:rsidRPr="00954416">
        <w:rPr>
          <w:rFonts w:ascii="Times New Roman" w:hAnsi="Times New Roman" w:cs="Times New Roman"/>
          <w:sz w:val="26"/>
          <w:szCs w:val="26"/>
        </w:rPr>
        <w:t>Zekun Ge</w:t>
      </w:r>
    </w:p>
    <w:p w14:paraId="672F3A9A" w14:textId="77777777" w:rsidR="00954416" w:rsidRDefault="00954416" w:rsidP="00B566AF">
      <w:pPr>
        <w:spacing w:line="240" w:lineRule="auto"/>
        <w:jc w:val="both"/>
        <w:rPr>
          <w:rFonts w:ascii="Times New Roman" w:hAnsi="Times New Roman" w:cs="Times New Roman"/>
          <w:sz w:val="26"/>
          <w:szCs w:val="26"/>
        </w:rPr>
      </w:pPr>
    </w:p>
    <w:p w14:paraId="19E81930" w14:textId="77777777" w:rsidR="00394894" w:rsidRPr="00394894" w:rsidRDefault="00394894" w:rsidP="00954416">
      <w:pPr>
        <w:jc w:val="both"/>
        <w:rPr>
          <w:rFonts w:ascii="Times New Roman" w:hAnsi="Times New Roman" w:cs="Times New Roman"/>
          <w:b/>
          <w:bCs/>
          <w:i/>
          <w:iCs/>
          <w:sz w:val="26"/>
          <w:szCs w:val="26"/>
        </w:rPr>
      </w:pPr>
      <w:r w:rsidRPr="00394894">
        <w:rPr>
          <w:rFonts w:ascii="Times New Roman" w:hAnsi="Times New Roman" w:cs="Times New Roman"/>
          <w:b/>
          <w:bCs/>
          <w:i/>
          <w:iCs/>
          <w:sz w:val="26"/>
          <w:szCs w:val="26"/>
        </w:rPr>
        <w:t>I</w:t>
      </w:r>
      <w:r w:rsidRPr="00394894">
        <w:rPr>
          <w:rFonts w:ascii="Times New Roman" w:hAnsi="Times New Roman" w:cs="Times New Roman" w:hint="eastAsia"/>
          <w:b/>
          <w:bCs/>
          <w:i/>
          <w:iCs/>
          <w:sz w:val="26"/>
          <w:szCs w:val="26"/>
        </w:rPr>
        <w:t>ntroduction</w:t>
      </w:r>
    </w:p>
    <w:p w14:paraId="781B07D9" w14:textId="77777777" w:rsidR="003F3861" w:rsidRDefault="00394894" w:rsidP="003F3861">
      <w:pPr>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his</w:t>
      </w:r>
      <w:r>
        <w:rPr>
          <w:rFonts w:ascii="Times New Roman" w:hAnsi="Times New Roman" w:cs="Times New Roman"/>
          <w:sz w:val="24"/>
          <w:szCs w:val="24"/>
        </w:rPr>
        <w:t xml:space="preserve"> paper focuses on two main puzzles: whether the existence of gender differences will impose significant impact on the performance in the young lawyers’ legal profession and if possible, the key determinants of such a gender-oriented performance difference. Presenting the substantial gender differences in annual performance measurements, the authors acknowledge that female young lawyers, compared to their male </w:t>
      </w:r>
      <w:r w:rsidR="008E2CD1">
        <w:rPr>
          <w:rFonts w:ascii="Times New Roman" w:hAnsi="Times New Roman" w:cs="Times New Roman"/>
          <w:sz w:val="24"/>
          <w:szCs w:val="24"/>
        </w:rPr>
        <w:t xml:space="preserve">counterparts, do behave significantly lower level of legal performance in terms of both </w:t>
      </w:r>
      <w:r w:rsidR="008E2CD1" w:rsidRPr="008E2CD1">
        <w:rPr>
          <w:rFonts w:ascii="Times New Roman" w:hAnsi="Times New Roman" w:cs="Times New Roman"/>
          <w:i/>
          <w:iCs/>
          <w:sz w:val="24"/>
          <w:szCs w:val="24"/>
        </w:rPr>
        <w:t>billed hours</w:t>
      </w:r>
      <w:r w:rsidR="008E2CD1">
        <w:rPr>
          <w:rFonts w:ascii="Times New Roman" w:hAnsi="Times New Roman" w:cs="Times New Roman"/>
          <w:sz w:val="24"/>
          <w:szCs w:val="24"/>
        </w:rPr>
        <w:t xml:space="preserve"> and </w:t>
      </w:r>
      <w:r w:rsidR="008E2CD1" w:rsidRPr="008E2CD1">
        <w:rPr>
          <w:rFonts w:ascii="Times New Roman" w:hAnsi="Times New Roman" w:cs="Times New Roman"/>
          <w:i/>
          <w:iCs/>
          <w:sz w:val="24"/>
          <w:szCs w:val="24"/>
        </w:rPr>
        <w:t>new client revenue</w:t>
      </w:r>
      <w:r w:rsidR="008E2CD1">
        <w:rPr>
          <w:rFonts w:ascii="Times New Roman" w:hAnsi="Times New Roman" w:cs="Times New Roman"/>
          <w:sz w:val="24"/>
          <w:szCs w:val="24"/>
        </w:rPr>
        <w:t xml:space="preserve">. The authors </w:t>
      </w:r>
      <w:r w:rsidR="00E86467">
        <w:rPr>
          <w:rFonts w:ascii="Times New Roman" w:hAnsi="Times New Roman" w:cs="Times New Roman"/>
          <w:sz w:val="24"/>
          <w:szCs w:val="24"/>
        </w:rPr>
        <w:t>discover</w:t>
      </w:r>
      <w:r w:rsidR="008E2CD1">
        <w:rPr>
          <w:rFonts w:ascii="Times New Roman" w:hAnsi="Times New Roman" w:cs="Times New Roman"/>
          <w:sz w:val="24"/>
          <w:szCs w:val="24"/>
        </w:rPr>
        <w:t xml:space="preserve"> that the presence of preschool-aged children in the household functions as a crucial factor on explaining the performance difference between male and female lawyers. Apart from that, </w:t>
      </w:r>
      <w:r w:rsidR="000004A4">
        <w:rPr>
          <w:rFonts w:ascii="Times New Roman" w:hAnsi="Times New Roman" w:cs="Times New Roman"/>
          <w:sz w:val="24"/>
          <w:szCs w:val="24"/>
        </w:rPr>
        <w:t>the</w:t>
      </w:r>
      <w:r w:rsidR="008E2CD1">
        <w:rPr>
          <w:rFonts w:ascii="Times New Roman" w:hAnsi="Times New Roman" w:cs="Times New Roman"/>
          <w:sz w:val="24"/>
          <w:szCs w:val="24"/>
        </w:rPr>
        <w:t xml:space="preserve"> authors also recognize the </w:t>
      </w:r>
      <w:r w:rsidR="003F3861">
        <w:rPr>
          <w:rFonts w:ascii="Times New Roman" w:hAnsi="Times New Roman" w:cs="Times New Roman"/>
          <w:sz w:val="24"/>
          <w:szCs w:val="24"/>
        </w:rPr>
        <w:t>role</w:t>
      </w:r>
      <w:r w:rsidR="008E2CD1">
        <w:rPr>
          <w:rFonts w:ascii="Times New Roman" w:hAnsi="Times New Roman" w:cs="Times New Roman"/>
          <w:sz w:val="24"/>
          <w:szCs w:val="24"/>
        </w:rPr>
        <w:t xml:space="preserve"> of aspirations to be promoted </w:t>
      </w:r>
      <w:r w:rsidR="003F3861">
        <w:rPr>
          <w:rFonts w:ascii="Times New Roman" w:hAnsi="Times New Roman" w:cs="Times New Roman"/>
          <w:sz w:val="24"/>
          <w:szCs w:val="24"/>
        </w:rPr>
        <w:t xml:space="preserve">as a key determinant of the gender-oriented performance gap. </w:t>
      </w:r>
    </w:p>
    <w:p w14:paraId="4008FFA0" w14:textId="77777777" w:rsidR="003F3861" w:rsidRDefault="003F3861" w:rsidP="00B566AF">
      <w:pPr>
        <w:spacing w:line="240" w:lineRule="auto"/>
        <w:jc w:val="both"/>
        <w:rPr>
          <w:rFonts w:ascii="Times New Roman" w:hAnsi="Times New Roman" w:cs="Times New Roman"/>
          <w:sz w:val="24"/>
          <w:szCs w:val="24"/>
        </w:rPr>
      </w:pPr>
    </w:p>
    <w:p w14:paraId="34437744" w14:textId="77777777" w:rsidR="00394894" w:rsidRPr="003F3861" w:rsidRDefault="003F3861" w:rsidP="003F3861">
      <w:pPr>
        <w:spacing w:line="360" w:lineRule="auto"/>
        <w:jc w:val="both"/>
        <w:rPr>
          <w:rFonts w:ascii="Times New Roman" w:hAnsi="Times New Roman" w:cs="Times New Roman"/>
          <w:b/>
          <w:bCs/>
          <w:i/>
          <w:iCs/>
          <w:sz w:val="26"/>
          <w:szCs w:val="26"/>
        </w:rPr>
      </w:pPr>
      <w:r w:rsidRPr="003F3861">
        <w:rPr>
          <w:rFonts w:ascii="Times New Roman" w:hAnsi="Times New Roman" w:cs="Times New Roman"/>
          <w:b/>
          <w:bCs/>
          <w:i/>
          <w:iCs/>
          <w:sz w:val="26"/>
          <w:szCs w:val="26"/>
        </w:rPr>
        <w:t xml:space="preserve">Overview of the </w:t>
      </w:r>
      <w:r>
        <w:rPr>
          <w:rFonts w:ascii="Times New Roman" w:hAnsi="Times New Roman" w:cs="Times New Roman"/>
          <w:b/>
          <w:bCs/>
          <w:i/>
          <w:iCs/>
          <w:sz w:val="26"/>
          <w:szCs w:val="26"/>
        </w:rPr>
        <w:t>T</w:t>
      </w:r>
      <w:r w:rsidRPr="003F3861">
        <w:rPr>
          <w:rFonts w:ascii="Times New Roman" w:hAnsi="Times New Roman" w:cs="Times New Roman"/>
          <w:b/>
          <w:bCs/>
          <w:i/>
          <w:iCs/>
          <w:sz w:val="26"/>
          <w:szCs w:val="26"/>
        </w:rPr>
        <w:t xml:space="preserve">heoretical </w:t>
      </w:r>
      <w:r>
        <w:rPr>
          <w:rFonts w:ascii="Times New Roman" w:hAnsi="Times New Roman" w:cs="Times New Roman"/>
          <w:b/>
          <w:bCs/>
          <w:i/>
          <w:iCs/>
          <w:sz w:val="26"/>
          <w:szCs w:val="26"/>
        </w:rPr>
        <w:t>F</w:t>
      </w:r>
      <w:r w:rsidRPr="003F3861">
        <w:rPr>
          <w:rFonts w:ascii="Times New Roman" w:hAnsi="Times New Roman" w:cs="Times New Roman"/>
          <w:b/>
          <w:bCs/>
          <w:i/>
          <w:iCs/>
          <w:sz w:val="26"/>
          <w:szCs w:val="26"/>
        </w:rPr>
        <w:t xml:space="preserve">oundations    </w:t>
      </w:r>
      <w:r w:rsidR="008E2CD1" w:rsidRPr="003F3861">
        <w:rPr>
          <w:rFonts w:ascii="Times New Roman" w:hAnsi="Times New Roman" w:cs="Times New Roman"/>
          <w:b/>
          <w:bCs/>
          <w:i/>
          <w:iCs/>
          <w:sz w:val="26"/>
          <w:szCs w:val="26"/>
        </w:rPr>
        <w:t xml:space="preserve">   </w:t>
      </w:r>
      <w:r w:rsidR="00394894" w:rsidRPr="003F3861">
        <w:rPr>
          <w:rFonts w:ascii="Times New Roman" w:hAnsi="Times New Roman" w:cs="Times New Roman"/>
          <w:b/>
          <w:bCs/>
          <w:i/>
          <w:iCs/>
          <w:sz w:val="26"/>
          <w:szCs w:val="26"/>
        </w:rPr>
        <w:t xml:space="preserve">   </w:t>
      </w:r>
      <w:r>
        <w:rPr>
          <w:rFonts w:ascii="Times New Roman" w:hAnsi="Times New Roman" w:cs="Times New Roman"/>
          <w:b/>
          <w:bCs/>
          <w:i/>
          <w:iCs/>
          <w:sz w:val="26"/>
          <w:szCs w:val="26"/>
        </w:rPr>
        <w:t xml:space="preserve">  </w:t>
      </w:r>
    </w:p>
    <w:p w14:paraId="1B4332E3" w14:textId="77777777" w:rsidR="00B566AF" w:rsidRDefault="003F3861" w:rsidP="00B566AF">
      <w:pPr>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Due to the</w:t>
      </w:r>
      <w:r w:rsidR="000004A4">
        <w:rPr>
          <w:rFonts w:ascii="Times New Roman" w:hAnsi="Times New Roman" w:cs="Times New Roman"/>
          <w:sz w:val="24"/>
          <w:szCs w:val="24"/>
        </w:rPr>
        <w:t xml:space="preserve"> </w:t>
      </w:r>
      <w:r w:rsidR="004D14AA">
        <w:rPr>
          <w:rFonts w:ascii="Times New Roman" w:hAnsi="Times New Roman" w:cs="Times New Roman"/>
          <w:sz w:val="24"/>
          <w:szCs w:val="24"/>
        </w:rPr>
        <w:t xml:space="preserve">room </w:t>
      </w:r>
      <w:r w:rsidR="000004A4">
        <w:rPr>
          <w:rFonts w:ascii="Times New Roman" w:hAnsi="Times New Roman" w:cs="Times New Roman"/>
          <w:sz w:val="24"/>
          <w:szCs w:val="24"/>
        </w:rPr>
        <w:t>limitation, I only present theoretical explanations of two main factors that have statistically significant impacts. The first one is The Theory of Child Rearing</w:t>
      </w:r>
      <w:r w:rsidR="00D17BDB">
        <w:rPr>
          <w:rFonts w:ascii="Times New Roman" w:hAnsi="Times New Roman" w:cs="Times New Roman"/>
          <w:sz w:val="24"/>
          <w:szCs w:val="24"/>
        </w:rPr>
        <w:t xml:space="preserve"> proposed by </w:t>
      </w:r>
      <w:proofErr w:type="spellStart"/>
      <w:r w:rsidR="00D17BDB">
        <w:rPr>
          <w:rFonts w:ascii="Times New Roman" w:hAnsi="Times New Roman" w:cs="Times New Roman"/>
          <w:sz w:val="24"/>
          <w:szCs w:val="24"/>
        </w:rPr>
        <w:t>Altonji</w:t>
      </w:r>
      <w:proofErr w:type="spellEnd"/>
      <w:r w:rsidR="00D17BDB">
        <w:rPr>
          <w:rFonts w:ascii="Times New Roman" w:hAnsi="Times New Roman" w:cs="Times New Roman"/>
          <w:sz w:val="24"/>
          <w:szCs w:val="24"/>
        </w:rPr>
        <w:t xml:space="preserve"> and Blank (1999)</w:t>
      </w:r>
      <w:r w:rsidR="00D17BDB">
        <w:rPr>
          <w:rStyle w:val="FootnoteReference"/>
          <w:rFonts w:ascii="Times New Roman" w:hAnsi="Times New Roman" w:cs="Times New Roman"/>
          <w:sz w:val="24"/>
          <w:szCs w:val="24"/>
        </w:rPr>
        <w:footnoteReference w:id="1"/>
      </w:r>
      <w:r w:rsidR="000004A4">
        <w:rPr>
          <w:rFonts w:ascii="Times New Roman" w:hAnsi="Times New Roman" w:cs="Times New Roman"/>
          <w:sz w:val="24"/>
          <w:szCs w:val="24"/>
        </w:rPr>
        <w:t>. That is to say,</w:t>
      </w:r>
      <w:r w:rsidR="000D02DF">
        <w:rPr>
          <w:rFonts w:ascii="Times New Roman" w:hAnsi="Times New Roman" w:cs="Times New Roman"/>
          <w:sz w:val="24"/>
          <w:szCs w:val="24"/>
        </w:rPr>
        <w:t xml:space="preserve"> </w:t>
      </w:r>
      <w:r w:rsidR="00974202">
        <w:rPr>
          <w:rFonts w:ascii="Times New Roman" w:hAnsi="Times New Roman" w:cs="Times New Roman"/>
          <w:sz w:val="24"/>
          <w:szCs w:val="24"/>
        </w:rPr>
        <w:t xml:space="preserve">gender differences in earnings are often attributed </w:t>
      </w:r>
      <w:r w:rsidR="0082788B">
        <w:rPr>
          <w:rFonts w:ascii="Times New Roman" w:hAnsi="Times New Roman" w:cs="Times New Roman"/>
          <w:sz w:val="24"/>
          <w:szCs w:val="24"/>
        </w:rPr>
        <w:t xml:space="preserve">to women </w:t>
      </w:r>
      <w:r w:rsidR="0060006F">
        <w:rPr>
          <w:rFonts w:ascii="Times New Roman" w:hAnsi="Times New Roman" w:cs="Times New Roman"/>
          <w:sz w:val="24"/>
          <w:szCs w:val="24"/>
        </w:rPr>
        <w:t xml:space="preserve">having children and gender differences in child care responsibilities. </w:t>
      </w:r>
      <w:r w:rsidR="004D14AA">
        <w:rPr>
          <w:rFonts w:ascii="Times New Roman" w:hAnsi="Times New Roman" w:cs="Times New Roman"/>
          <w:sz w:val="24"/>
          <w:szCs w:val="24"/>
        </w:rPr>
        <w:t>C</w:t>
      </w:r>
      <w:r w:rsidR="0033650E">
        <w:rPr>
          <w:rFonts w:ascii="Times New Roman" w:hAnsi="Times New Roman" w:cs="Times New Roman"/>
          <w:sz w:val="24"/>
          <w:szCs w:val="24"/>
        </w:rPr>
        <w:t xml:space="preserve">ompared to male </w:t>
      </w:r>
      <w:r w:rsidR="00FE77AA">
        <w:rPr>
          <w:rFonts w:ascii="Times New Roman" w:hAnsi="Times New Roman" w:cs="Times New Roman"/>
          <w:sz w:val="24"/>
          <w:szCs w:val="24"/>
        </w:rPr>
        <w:t>young lawyers, female young lawyers will spend more time on nurturing pr</w:t>
      </w:r>
      <w:r w:rsidR="00757729">
        <w:rPr>
          <w:rFonts w:ascii="Times New Roman" w:hAnsi="Times New Roman" w:cs="Times New Roman"/>
          <w:sz w:val="24"/>
          <w:szCs w:val="24"/>
        </w:rPr>
        <w:t>e</w:t>
      </w:r>
      <w:r w:rsidR="00FE77AA">
        <w:rPr>
          <w:rFonts w:ascii="Times New Roman" w:hAnsi="Times New Roman" w:cs="Times New Roman"/>
          <w:sz w:val="24"/>
          <w:szCs w:val="24"/>
        </w:rPr>
        <w:t>schoo</w:t>
      </w:r>
      <w:r w:rsidR="00757729">
        <w:rPr>
          <w:rFonts w:ascii="Times New Roman" w:hAnsi="Times New Roman" w:cs="Times New Roman"/>
          <w:sz w:val="24"/>
          <w:szCs w:val="24"/>
        </w:rPr>
        <w:t>l</w:t>
      </w:r>
      <w:r w:rsidR="00FE77AA">
        <w:rPr>
          <w:rFonts w:ascii="Times New Roman" w:hAnsi="Times New Roman" w:cs="Times New Roman"/>
          <w:sz w:val="24"/>
          <w:szCs w:val="24"/>
        </w:rPr>
        <w:t xml:space="preserve">-aged </w:t>
      </w:r>
      <w:r w:rsidR="00757729">
        <w:rPr>
          <w:rFonts w:ascii="Times New Roman" w:hAnsi="Times New Roman" w:cs="Times New Roman"/>
          <w:sz w:val="24"/>
          <w:szCs w:val="24"/>
        </w:rPr>
        <w:t xml:space="preserve">children, which will significantly decrease the time that could be used for billed hours and developing connections of new clients. The alternative theory is the Explanation of Career Aspiration proposed by </w:t>
      </w:r>
      <w:proofErr w:type="spellStart"/>
      <w:r w:rsidR="00757729">
        <w:rPr>
          <w:rFonts w:ascii="Times New Roman" w:hAnsi="Times New Roman" w:cs="Times New Roman"/>
          <w:sz w:val="24"/>
          <w:szCs w:val="24"/>
        </w:rPr>
        <w:t>Fama</w:t>
      </w:r>
      <w:proofErr w:type="spellEnd"/>
      <w:r w:rsidR="00757729">
        <w:rPr>
          <w:rFonts w:ascii="Times New Roman" w:hAnsi="Times New Roman" w:cs="Times New Roman"/>
          <w:sz w:val="24"/>
          <w:szCs w:val="24"/>
        </w:rPr>
        <w:t xml:space="preserve"> (1980)</w:t>
      </w:r>
      <w:r w:rsidR="00757729">
        <w:rPr>
          <w:rStyle w:val="FootnoteReference"/>
          <w:rFonts w:ascii="Times New Roman" w:hAnsi="Times New Roman" w:cs="Times New Roman"/>
          <w:sz w:val="24"/>
          <w:szCs w:val="24"/>
        </w:rPr>
        <w:footnoteReference w:id="2"/>
      </w:r>
      <w:r w:rsidR="00757729">
        <w:rPr>
          <w:rFonts w:ascii="Times New Roman" w:hAnsi="Times New Roman" w:cs="Times New Roman"/>
          <w:sz w:val="24"/>
          <w:szCs w:val="24"/>
        </w:rPr>
        <w:t xml:space="preserve"> and Holmstrom (1999)</w:t>
      </w:r>
      <w:r w:rsidR="00757729">
        <w:rPr>
          <w:rStyle w:val="FootnoteReference"/>
          <w:rFonts w:ascii="Times New Roman" w:hAnsi="Times New Roman" w:cs="Times New Roman"/>
          <w:sz w:val="24"/>
          <w:szCs w:val="24"/>
        </w:rPr>
        <w:footnoteReference w:id="3"/>
      </w:r>
      <w:r w:rsidR="00757729">
        <w:rPr>
          <w:rFonts w:ascii="Times New Roman" w:hAnsi="Times New Roman" w:cs="Times New Roman"/>
          <w:sz w:val="24"/>
          <w:szCs w:val="24"/>
        </w:rPr>
        <w:t xml:space="preserve">. Agents who assign greater importance to their future earnings have stronger incentives to contribute effort, which affects performance. Since </w:t>
      </w:r>
      <w:r w:rsidR="00B566AF">
        <w:rPr>
          <w:rFonts w:ascii="Times New Roman" w:hAnsi="Times New Roman" w:cs="Times New Roman"/>
          <w:sz w:val="24"/>
          <w:szCs w:val="24"/>
        </w:rPr>
        <w:t xml:space="preserve">less female young </w:t>
      </w:r>
      <w:r w:rsidR="00B566AF">
        <w:rPr>
          <w:rFonts w:ascii="Times New Roman" w:hAnsi="Times New Roman" w:cs="Times New Roman"/>
          <w:sz w:val="24"/>
          <w:szCs w:val="24"/>
        </w:rPr>
        <w:lastRenderedPageBreak/>
        <w:t>layers hold the ambition to become an equity partner in their firm</w:t>
      </w:r>
      <w:r w:rsidR="00B566AF">
        <w:rPr>
          <w:rStyle w:val="FootnoteReference"/>
          <w:rFonts w:ascii="Times New Roman" w:hAnsi="Times New Roman" w:cs="Times New Roman"/>
          <w:sz w:val="24"/>
          <w:szCs w:val="24"/>
        </w:rPr>
        <w:footnoteReference w:id="4"/>
      </w:r>
      <w:r w:rsidR="00B566AF">
        <w:rPr>
          <w:rFonts w:ascii="Times New Roman" w:hAnsi="Times New Roman" w:cs="Times New Roman"/>
          <w:sz w:val="24"/>
          <w:szCs w:val="24"/>
        </w:rPr>
        <w:t xml:space="preserve">, it is intuitive to believe that gender differences in the career aspirations of young lawyers may theoretically contribute to differences in performance. </w:t>
      </w:r>
    </w:p>
    <w:p w14:paraId="7C03F75E" w14:textId="77777777" w:rsidR="00B566AF" w:rsidRDefault="00B566AF" w:rsidP="00B566AF">
      <w:pPr>
        <w:spacing w:line="240" w:lineRule="auto"/>
        <w:jc w:val="both"/>
        <w:rPr>
          <w:rFonts w:ascii="Times New Roman" w:hAnsi="Times New Roman" w:cs="Times New Roman"/>
          <w:sz w:val="24"/>
          <w:szCs w:val="24"/>
        </w:rPr>
      </w:pPr>
    </w:p>
    <w:p w14:paraId="3F35C73C" w14:textId="77777777" w:rsidR="009A526A" w:rsidRDefault="00B566AF" w:rsidP="00B566AF">
      <w:pPr>
        <w:spacing w:line="360" w:lineRule="auto"/>
        <w:jc w:val="both"/>
        <w:rPr>
          <w:rFonts w:ascii="Times New Roman" w:hAnsi="Times New Roman" w:cs="Times New Roman"/>
          <w:b/>
          <w:bCs/>
          <w:i/>
          <w:iCs/>
          <w:sz w:val="26"/>
          <w:szCs w:val="26"/>
        </w:rPr>
      </w:pPr>
      <w:r w:rsidRPr="003F3861">
        <w:rPr>
          <w:rFonts w:ascii="Times New Roman" w:hAnsi="Times New Roman" w:cs="Times New Roman"/>
          <w:b/>
          <w:bCs/>
          <w:i/>
          <w:iCs/>
          <w:sz w:val="26"/>
          <w:szCs w:val="26"/>
        </w:rPr>
        <w:t xml:space="preserve">Overview of the </w:t>
      </w:r>
      <w:r>
        <w:rPr>
          <w:rFonts w:ascii="Times New Roman" w:hAnsi="Times New Roman" w:cs="Times New Roman"/>
          <w:b/>
          <w:bCs/>
          <w:i/>
          <w:iCs/>
          <w:sz w:val="26"/>
          <w:szCs w:val="26"/>
        </w:rPr>
        <w:t>Data and Empirical Strategy</w:t>
      </w:r>
    </w:p>
    <w:p w14:paraId="0D292CD4" w14:textId="77777777" w:rsidR="004A665B" w:rsidRDefault="009A526A" w:rsidP="004A665B">
      <w:pPr>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The authors implement “After the JD” (AJD) dataset in this research.</w:t>
      </w:r>
      <w:r w:rsidR="00DE22FA">
        <w:rPr>
          <w:rFonts w:ascii="Times New Roman" w:hAnsi="Times New Roman" w:cs="Times New Roman"/>
          <w:sz w:val="24"/>
          <w:szCs w:val="24"/>
        </w:rPr>
        <w:t xml:space="preserve"> AJD dataset </w:t>
      </w:r>
      <w:r w:rsidR="00DE22FA" w:rsidRPr="00DE22FA">
        <w:rPr>
          <w:rFonts w:ascii="Times New Roman" w:hAnsi="Times New Roman" w:cs="Times New Roman"/>
          <w:sz w:val="24"/>
          <w:szCs w:val="24"/>
        </w:rPr>
        <w:t xml:space="preserve">project </w:t>
      </w:r>
      <w:r w:rsidR="00DE22FA">
        <w:rPr>
          <w:rFonts w:ascii="Times New Roman" w:hAnsi="Times New Roman" w:cs="Times New Roman"/>
          <w:sz w:val="24"/>
          <w:szCs w:val="24"/>
        </w:rPr>
        <w:t xml:space="preserve">is a nationally representative, longitudinal survey of young lawyers in the U.S. which is firstly conducted in 2002 and </w:t>
      </w:r>
      <w:r w:rsidR="00ED3069">
        <w:rPr>
          <w:rFonts w:ascii="Times New Roman" w:hAnsi="Times New Roman" w:cs="Times New Roman"/>
          <w:sz w:val="24"/>
          <w:szCs w:val="24"/>
        </w:rPr>
        <w:t>then</w:t>
      </w:r>
      <w:r w:rsidR="00DE22FA">
        <w:rPr>
          <w:rFonts w:ascii="Times New Roman" w:hAnsi="Times New Roman" w:cs="Times New Roman"/>
          <w:sz w:val="24"/>
          <w:szCs w:val="24"/>
        </w:rPr>
        <w:t xml:space="preserve"> re-interviewed at 2007. Due to the limitation of room, I only present two main measurements of the dependent variable: </w:t>
      </w:r>
      <w:r w:rsidR="00DE22FA" w:rsidRPr="00DE22FA">
        <w:rPr>
          <w:rFonts w:ascii="Times New Roman" w:hAnsi="Times New Roman" w:cs="Times New Roman"/>
          <w:i/>
          <w:iCs/>
          <w:sz w:val="24"/>
          <w:szCs w:val="24"/>
        </w:rPr>
        <w:t>legal performance</w:t>
      </w:r>
      <w:r w:rsidR="00DE22FA">
        <w:rPr>
          <w:rFonts w:ascii="Times New Roman" w:hAnsi="Times New Roman" w:cs="Times New Roman"/>
          <w:sz w:val="24"/>
          <w:szCs w:val="24"/>
        </w:rPr>
        <w:t xml:space="preserve">. The authors firstly focus on </w:t>
      </w:r>
      <w:r w:rsidR="00DE22FA" w:rsidRPr="00DE22FA">
        <w:rPr>
          <w:rFonts w:ascii="Times New Roman" w:hAnsi="Times New Roman" w:cs="Times New Roman"/>
          <w:i/>
          <w:iCs/>
          <w:sz w:val="24"/>
          <w:szCs w:val="24"/>
        </w:rPr>
        <w:t>billed hours</w:t>
      </w:r>
      <w:r w:rsidR="00DE22FA">
        <w:rPr>
          <w:rFonts w:ascii="Times New Roman" w:hAnsi="Times New Roman" w:cs="Times New Roman"/>
          <w:sz w:val="24"/>
          <w:szCs w:val="24"/>
        </w:rPr>
        <w:t xml:space="preserve"> and measure the billable hour requirement as typical lawyers’ overall number of hours billed in 2006. They turn to the concentration of </w:t>
      </w:r>
      <w:r w:rsidR="00DE22FA" w:rsidRPr="00DE22FA">
        <w:rPr>
          <w:rFonts w:ascii="Times New Roman" w:hAnsi="Times New Roman" w:cs="Times New Roman"/>
          <w:i/>
          <w:iCs/>
          <w:sz w:val="24"/>
          <w:szCs w:val="24"/>
        </w:rPr>
        <w:t>new client revenue</w:t>
      </w:r>
      <w:r w:rsidR="00DE22FA">
        <w:rPr>
          <w:rFonts w:ascii="Times New Roman" w:hAnsi="Times New Roman" w:cs="Times New Roman"/>
          <w:sz w:val="24"/>
          <w:szCs w:val="24"/>
        </w:rPr>
        <w:t xml:space="preserve"> and </w:t>
      </w:r>
      <w:r w:rsidR="004A665B">
        <w:rPr>
          <w:rFonts w:ascii="Times New Roman" w:hAnsi="Times New Roman" w:cs="Times New Roman"/>
          <w:sz w:val="24"/>
          <w:szCs w:val="24"/>
        </w:rPr>
        <w:t xml:space="preserve">describe the measurement of </w:t>
      </w:r>
      <w:r w:rsidR="00ED3069">
        <w:rPr>
          <w:rFonts w:ascii="Times New Roman" w:hAnsi="Times New Roman" w:cs="Times New Roman"/>
          <w:sz w:val="24"/>
          <w:szCs w:val="24"/>
        </w:rPr>
        <w:t xml:space="preserve">repayment of </w:t>
      </w:r>
      <w:r w:rsidR="004A665B">
        <w:rPr>
          <w:rFonts w:ascii="Times New Roman" w:hAnsi="Times New Roman" w:cs="Times New Roman"/>
          <w:sz w:val="24"/>
          <w:szCs w:val="24"/>
        </w:rPr>
        <w:t xml:space="preserve">making new customers as the revenue attributed to new clients “personally brought” by the lawyers to their law firm in 2006. Since AJD project is fulfilled with panel data, the authors implement Fix-Effect estimation with Individual Controls, Firm Controls, Region Fixed Effect and Education Controls as their main empirical strategy. </w:t>
      </w:r>
    </w:p>
    <w:p w14:paraId="7FA9874B" w14:textId="77777777" w:rsidR="004A665B" w:rsidRDefault="004A665B" w:rsidP="00C87464">
      <w:pPr>
        <w:spacing w:line="240" w:lineRule="auto"/>
        <w:jc w:val="both"/>
        <w:rPr>
          <w:rFonts w:ascii="Times New Roman" w:hAnsi="Times New Roman" w:cs="Times New Roman"/>
          <w:sz w:val="24"/>
          <w:szCs w:val="24"/>
        </w:rPr>
      </w:pPr>
    </w:p>
    <w:p w14:paraId="25B856FD" w14:textId="77777777" w:rsidR="00C87464" w:rsidRDefault="004A665B" w:rsidP="00C87464">
      <w:pPr>
        <w:spacing w:line="360" w:lineRule="auto"/>
        <w:jc w:val="both"/>
        <w:rPr>
          <w:rFonts w:ascii="Times New Roman" w:hAnsi="Times New Roman" w:cs="Times New Roman"/>
          <w:b/>
          <w:bCs/>
          <w:i/>
          <w:iCs/>
          <w:sz w:val="26"/>
          <w:szCs w:val="26"/>
        </w:rPr>
      </w:pPr>
      <w:r>
        <w:rPr>
          <w:rFonts w:ascii="Times New Roman" w:hAnsi="Times New Roman" w:cs="Times New Roman"/>
          <w:sz w:val="24"/>
          <w:szCs w:val="24"/>
        </w:rPr>
        <w:t xml:space="preserve"> </w:t>
      </w:r>
      <w:r w:rsidR="00C87464" w:rsidRPr="003F3861">
        <w:rPr>
          <w:rFonts w:ascii="Times New Roman" w:hAnsi="Times New Roman" w:cs="Times New Roman"/>
          <w:b/>
          <w:bCs/>
          <w:i/>
          <w:iCs/>
          <w:sz w:val="26"/>
          <w:szCs w:val="26"/>
        </w:rPr>
        <w:t xml:space="preserve">Overview of the </w:t>
      </w:r>
      <w:r w:rsidR="00C87464">
        <w:rPr>
          <w:rFonts w:ascii="Times New Roman" w:hAnsi="Times New Roman" w:cs="Times New Roman"/>
          <w:b/>
          <w:bCs/>
          <w:i/>
          <w:iCs/>
          <w:sz w:val="26"/>
          <w:szCs w:val="26"/>
        </w:rPr>
        <w:t>Findings</w:t>
      </w:r>
    </w:p>
    <w:p w14:paraId="2BEDDC70" w14:textId="5256AE27" w:rsidR="00016FC9" w:rsidRDefault="00C87464" w:rsidP="00016FC9">
      <w:pPr>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From the result of Table 2, it is clear that compared to their male counterparts, female young lawyers are accountable to smaller number of billed hours and receive less amount of new client revenue at 1% statistical significance level, which affirms the existence</w:t>
      </w:r>
      <w:r w:rsidR="00016FC9">
        <w:rPr>
          <w:rFonts w:ascii="Times New Roman" w:hAnsi="Times New Roman" w:cs="Times New Roman"/>
          <w:sz w:val="24"/>
          <w:szCs w:val="24"/>
        </w:rPr>
        <w:t xml:space="preserve"> of gender gap in performance among high-skilled </w:t>
      </w:r>
      <w:r w:rsidR="00E17C21">
        <w:rPr>
          <w:rFonts w:ascii="Times New Roman" w:hAnsi="Times New Roman" w:cs="Times New Roman"/>
          <w:sz w:val="24"/>
          <w:szCs w:val="24"/>
        </w:rPr>
        <w:t>lawyers</w:t>
      </w:r>
      <w:bookmarkStart w:id="0" w:name="_GoBack"/>
      <w:bookmarkEnd w:id="0"/>
      <w:r w:rsidR="00016FC9">
        <w:rPr>
          <w:rFonts w:ascii="Times New Roman" w:hAnsi="Times New Roman" w:cs="Times New Roman"/>
          <w:sz w:val="24"/>
          <w:szCs w:val="24"/>
        </w:rPr>
        <w:t>.</w:t>
      </w:r>
    </w:p>
    <w:p w14:paraId="5F2E74D3" w14:textId="77777777" w:rsidR="00B674BB" w:rsidRDefault="00016FC9" w:rsidP="00016FC9">
      <w:pPr>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From the result of column (1) and (2) of Table 9, I find out that before including the intersection term named “Female * child age &lt; 4”, the coefficient of Female variable is negative and significant and that the 1%-level statistical significance of variable Female’s coefficient immediately lose after the inclusion of this mentioned intersection term. This loss of significance implies that billing a persistently large number of hours is difficult for female young lawyers with less-then-four-year -old children because women tend to share larger responsibilities on child nurturing.</w:t>
      </w:r>
      <w:r w:rsidR="00B674BB">
        <w:rPr>
          <w:rFonts w:ascii="Times New Roman" w:hAnsi="Times New Roman" w:cs="Times New Roman"/>
          <w:sz w:val="24"/>
          <w:szCs w:val="24"/>
        </w:rPr>
        <w:t xml:space="preserve"> However. by </w:t>
      </w:r>
      <w:r w:rsidR="00B674BB">
        <w:rPr>
          <w:rFonts w:ascii="Times New Roman" w:hAnsi="Times New Roman" w:cs="Times New Roman"/>
          <w:sz w:val="24"/>
          <w:szCs w:val="24"/>
        </w:rPr>
        <w:lastRenderedPageBreak/>
        <w:t xml:space="preserve">observing column (3) and (4) of Table 9, I also find out that the Theory of Child Rearing only applies to explain gender difference in hour billed </w:t>
      </w:r>
      <w:r w:rsidR="00B674BB" w:rsidRPr="00B674BB">
        <w:rPr>
          <w:rFonts w:ascii="Times New Roman" w:hAnsi="Times New Roman" w:cs="Times New Roman"/>
          <w:i/>
          <w:iCs/>
          <w:sz w:val="24"/>
          <w:szCs w:val="24"/>
        </w:rPr>
        <w:t>but not client revenue</w:t>
      </w:r>
      <w:r w:rsidR="00B674BB">
        <w:rPr>
          <w:rFonts w:ascii="Times New Roman" w:hAnsi="Times New Roman" w:cs="Times New Roman"/>
          <w:sz w:val="24"/>
          <w:szCs w:val="24"/>
        </w:rPr>
        <w:t>.</w:t>
      </w:r>
    </w:p>
    <w:p w14:paraId="1444AF14" w14:textId="77777777" w:rsidR="00C87464" w:rsidRDefault="00B674BB" w:rsidP="00016FC9">
      <w:pPr>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From the result </w:t>
      </w:r>
      <w:r w:rsidR="00CB466A">
        <w:rPr>
          <w:rFonts w:ascii="Times New Roman" w:hAnsi="Times New Roman" w:cs="Times New Roman"/>
          <w:sz w:val="24"/>
          <w:szCs w:val="24"/>
        </w:rPr>
        <w:t xml:space="preserve">of column (3) </w:t>
      </w:r>
      <w:r>
        <w:rPr>
          <w:rFonts w:ascii="Times New Roman" w:hAnsi="Times New Roman" w:cs="Times New Roman"/>
          <w:sz w:val="24"/>
          <w:szCs w:val="24"/>
        </w:rPr>
        <w:t>of Table 10,</w:t>
      </w:r>
      <w:r w:rsidR="00CB466A">
        <w:rPr>
          <w:rFonts w:ascii="Times New Roman" w:hAnsi="Times New Roman" w:cs="Times New Roman"/>
          <w:sz w:val="24"/>
          <w:szCs w:val="24"/>
        </w:rPr>
        <w:t xml:space="preserve"> it is clear that after including the independent variable Aspiration, the 1%-level statistical significance of variable Female immediately disappear, which indicates that the gender differences in aspiration levels explain the remaining gender difference in the new revenue generated by lawyers. </w:t>
      </w:r>
    </w:p>
    <w:p w14:paraId="29FD3F60" w14:textId="77777777" w:rsidR="00E7717A" w:rsidRDefault="00E7717A" w:rsidP="00E7717A">
      <w:pPr>
        <w:spacing w:line="240" w:lineRule="auto"/>
        <w:jc w:val="both"/>
        <w:rPr>
          <w:rFonts w:ascii="Times New Roman" w:hAnsi="Times New Roman" w:cs="Times New Roman"/>
          <w:sz w:val="24"/>
          <w:szCs w:val="24"/>
        </w:rPr>
      </w:pPr>
    </w:p>
    <w:p w14:paraId="737506AF" w14:textId="77777777" w:rsidR="00E7717A" w:rsidRPr="009C4CFC" w:rsidRDefault="009C4CFC" w:rsidP="00E7717A">
      <w:pPr>
        <w:spacing w:line="360" w:lineRule="auto"/>
        <w:jc w:val="both"/>
        <w:rPr>
          <w:rFonts w:ascii="Times New Roman" w:hAnsi="Times New Roman" w:cs="Times New Roman"/>
          <w:b/>
          <w:bCs/>
          <w:i/>
          <w:iCs/>
          <w:sz w:val="26"/>
          <w:szCs w:val="26"/>
        </w:rPr>
      </w:pPr>
      <w:r w:rsidRPr="009C4CFC">
        <w:rPr>
          <w:rFonts w:ascii="Times New Roman" w:hAnsi="Times New Roman" w:cs="Times New Roman"/>
          <w:b/>
          <w:bCs/>
          <w:i/>
          <w:iCs/>
          <w:sz w:val="26"/>
          <w:szCs w:val="26"/>
        </w:rPr>
        <w:t xml:space="preserve">Conclusion </w:t>
      </w:r>
    </w:p>
    <w:p w14:paraId="6B8E6C58" w14:textId="77777777" w:rsidR="00356785" w:rsidRDefault="00583C69" w:rsidP="00732CED">
      <w:pPr>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This paper reaffirms the existence of gender gap in annual permeance of young lawyers. What’s more, </w:t>
      </w:r>
      <w:r w:rsidR="00806B0E">
        <w:rPr>
          <w:rFonts w:ascii="Times New Roman" w:hAnsi="Times New Roman" w:cs="Times New Roman"/>
          <w:sz w:val="24"/>
          <w:szCs w:val="24"/>
        </w:rPr>
        <w:t>its</w:t>
      </w:r>
      <w:r>
        <w:rPr>
          <w:rFonts w:ascii="Times New Roman" w:hAnsi="Times New Roman" w:cs="Times New Roman"/>
          <w:sz w:val="24"/>
          <w:szCs w:val="24"/>
        </w:rPr>
        <w:t xml:space="preserve"> largest contribution is to discover that “the presence of children aged under four” and “the aspiration difference to become a partner” explain substantive share </w:t>
      </w:r>
      <w:r w:rsidR="00806B0E">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00806B0E">
        <w:rPr>
          <w:rFonts w:ascii="Times New Roman" w:hAnsi="Times New Roman" w:cs="Times New Roman"/>
          <w:sz w:val="24"/>
          <w:szCs w:val="24"/>
        </w:rPr>
        <w:t>empirical effect of the</w:t>
      </w:r>
      <w:r>
        <w:rPr>
          <w:rFonts w:ascii="Times New Roman" w:hAnsi="Times New Roman" w:cs="Times New Roman"/>
          <w:sz w:val="24"/>
          <w:szCs w:val="24"/>
        </w:rPr>
        <w:t xml:space="preserve"> gender gap. </w:t>
      </w:r>
    </w:p>
    <w:p w14:paraId="51DF6713" w14:textId="77777777" w:rsidR="00732CED" w:rsidRDefault="00583C69" w:rsidP="00732CED">
      <w:pPr>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However, this paper lack one main problem. That is to say, among the </w:t>
      </w:r>
      <w:r w:rsidR="00D76D6A">
        <w:rPr>
          <w:rFonts w:ascii="Times New Roman" w:hAnsi="Times New Roman" w:cs="Times New Roman"/>
          <w:sz w:val="24"/>
          <w:szCs w:val="24"/>
        </w:rPr>
        <w:t>influential</w:t>
      </w:r>
      <w:r>
        <w:rPr>
          <w:rFonts w:ascii="Times New Roman" w:hAnsi="Times New Roman" w:cs="Times New Roman"/>
          <w:sz w:val="24"/>
          <w:szCs w:val="24"/>
        </w:rPr>
        <w:t xml:space="preserve"> explanations which are tested statistically significant, the authors do not indicate which ones are the most explanatory factors. For solving this unfinished problem, I personally recommend to adopt casual mediation analysis proposed by Imai </w:t>
      </w:r>
      <w:r w:rsidRPr="00732CED">
        <w:rPr>
          <w:rFonts w:ascii="Times New Roman" w:hAnsi="Times New Roman" w:cs="Times New Roman"/>
          <w:i/>
          <w:iCs/>
          <w:sz w:val="24"/>
          <w:szCs w:val="24"/>
        </w:rPr>
        <w:t>et al</w:t>
      </w:r>
      <w:r w:rsidR="00732CED">
        <w:rPr>
          <w:rFonts w:ascii="Times New Roman" w:hAnsi="Times New Roman" w:cs="Times New Roman"/>
          <w:sz w:val="24"/>
          <w:szCs w:val="24"/>
        </w:rPr>
        <w:t>.</w:t>
      </w:r>
      <w:r>
        <w:rPr>
          <w:rFonts w:ascii="Times New Roman" w:hAnsi="Times New Roman" w:cs="Times New Roman"/>
          <w:sz w:val="24"/>
          <w:szCs w:val="24"/>
        </w:rPr>
        <w:t xml:space="preserve"> (2010a, 2010b)</w:t>
      </w:r>
      <w:r>
        <w:rPr>
          <w:rStyle w:val="FootnoteReference"/>
          <w:rFonts w:ascii="Times New Roman" w:hAnsi="Times New Roman" w:cs="Times New Roman"/>
          <w:sz w:val="24"/>
          <w:szCs w:val="24"/>
        </w:rPr>
        <w:footnoteReference w:id="5"/>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r w:rsidR="00732CED">
        <w:rPr>
          <w:rFonts w:ascii="Times New Roman" w:hAnsi="Times New Roman" w:cs="Times New Roman"/>
          <w:sz w:val="24"/>
          <w:szCs w:val="24"/>
        </w:rPr>
        <w:t xml:space="preserve">One successful implementation of this methodology is </w:t>
      </w:r>
      <w:r w:rsidR="00732CED" w:rsidRPr="00732CED">
        <w:rPr>
          <w:rFonts w:ascii="Times New Roman" w:hAnsi="Times New Roman" w:cs="Times New Roman"/>
          <w:sz w:val="24"/>
          <w:szCs w:val="24"/>
        </w:rPr>
        <w:t>Dang</w:t>
      </w:r>
      <w:r w:rsidR="00732CED">
        <w:rPr>
          <w:rFonts w:ascii="Times New Roman" w:hAnsi="Times New Roman" w:cs="Times New Roman"/>
          <w:sz w:val="24"/>
          <w:szCs w:val="24"/>
        </w:rPr>
        <w:t xml:space="preserve"> </w:t>
      </w:r>
      <w:r w:rsidR="00732CED" w:rsidRPr="00732CED">
        <w:rPr>
          <w:rFonts w:ascii="Times New Roman" w:hAnsi="Times New Roman" w:cs="Times New Roman"/>
          <w:i/>
          <w:iCs/>
          <w:sz w:val="24"/>
          <w:szCs w:val="24"/>
        </w:rPr>
        <w:t>et al</w:t>
      </w:r>
      <w:r w:rsidR="00732CED">
        <w:rPr>
          <w:rFonts w:ascii="Times New Roman" w:hAnsi="Times New Roman" w:cs="Times New Roman"/>
          <w:sz w:val="24"/>
          <w:szCs w:val="24"/>
        </w:rPr>
        <w:t xml:space="preserve">. (2020) where Professor Edmund </w:t>
      </w:r>
      <w:proofErr w:type="spellStart"/>
      <w:r w:rsidR="00732CED">
        <w:rPr>
          <w:rFonts w:ascii="Times New Roman" w:hAnsi="Times New Roman" w:cs="Times New Roman"/>
          <w:sz w:val="24"/>
          <w:szCs w:val="24"/>
        </w:rPr>
        <w:t>Malesky</w:t>
      </w:r>
      <w:proofErr w:type="spellEnd"/>
      <w:r w:rsidR="00732CED">
        <w:rPr>
          <w:rFonts w:ascii="Times New Roman" w:hAnsi="Times New Roman" w:cs="Times New Roman"/>
          <w:sz w:val="24"/>
          <w:szCs w:val="24"/>
        </w:rPr>
        <w:t xml:space="preserve"> </w:t>
      </w:r>
      <w:r w:rsidR="00732CED" w:rsidRPr="00732CED">
        <w:rPr>
          <w:rFonts w:ascii="Times New Roman" w:hAnsi="Times New Roman" w:cs="Times New Roman"/>
          <w:sz w:val="24"/>
          <w:szCs w:val="24"/>
        </w:rPr>
        <w:t>employ</w:t>
      </w:r>
      <w:r w:rsidR="00732CED">
        <w:rPr>
          <w:rFonts w:ascii="Times New Roman" w:hAnsi="Times New Roman" w:cs="Times New Roman"/>
          <w:sz w:val="24"/>
          <w:szCs w:val="24"/>
        </w:rPr>
        <w:t>s</w:t>
      </w:r>
      <w:r w:rsidR="00732CED" w:rsidRPr="00732CED">
        <w:rPr>
          <w:rFonts w:ascii="Times New Roman" w:hAnsi="Times New Roman" w:cs="Times New Roman"/>
          <w:sz w:val="24"/>
          <w:szCs w:val="24"/>
        </w:rPr>
        <w:t xml:space="preserve"> th</w:t>
      </w:r>
      <w:r w:rsidR="00732CED">
        <w:rPr>
          <w:rFonts w:ascii="Times New Roman" w:hAnsi="Times New Roman" w:cs="Times New Roman"/>
          <w:sz w:val="24"/>
          <w:szCs w:val="24"/>
        </w:rPr>
        <w:t>is</w:t>
      </w:r>
      <w:r w:rsidR="00732CED" w:rsidRPr="00732CED">
        <w:rPr>
          <w:rFonts w:ascii="Times New Roman" w:hAnsi="Times New Roman" w:cs="Times New Roman"/>
          <w:sz w:val="24"/>
          <w:szCs w:val="24"/>
        </w:rPr>
        <w:t xml:space="preserve"> </w:t>
      </w:r>
      <w:r w:rsidR="00732CED">
        <w:rPr>
          <w:rFonts w:ascii="Times New Roman" w:hAnsi="Times New Roman" w:cs="Times New Roman"/>
          <w:sz w:val="24"/>
          <w:szCs w:val="24"/>
        </w:rPr>
        <w:t xml:space="preserve">mentioned </w:t>
      </w:r>
      <w:r w:rsidR="00732CED" w:rsidRPr="00732CED">
        <w:rPr>
          <w:rFonts w:ascii="Times New Roman" w:hAnsi="Times New Roman" w:cs="Times New Roman"/>
          <w:sz w:val="24"/>
          <w:szCs w:val="24"/>
        </w:rPr>
        <w:t>causal mediation approach</w:t>
      </w:r>
      <w:r w:rsidR="00732CED">
        <w:rPr>
          <w:rFonts w:ascii="Times New Roman" w:hAnsi="Times New Roman" w:cs="Times New Roman"/>
          <w:sz w:val="24"/>
          <w:szCs w:val="24"/>
        </w:rPr>
        <w:t xml:space="preserve"> </w:t>
      </w:r>
      <w:r w:rsidR="00732CED" w:rsidRPr="00732CED">
        <w:rPr>
          <w:rFonts w:ascii="Times New Roman" w:hAnsi="Times New Roman" w:cs="Times New Roman"/>
          <w:sz w:val="24"/>
          <w:szCs w:val="24"/>
        </w:rPr>
        <w:t xml:space="preserve">to estimate the indirect effects of the poorest income quintile on the overall assessment of government responses through several economic and non-economic outcomes that are caused by the </w:t>
      </w:r>
      <w:r w:rsidR="00732CED">
        <w:rPr>
          <w:rFonts w:ascii="Times New Roman" w:hAnsi="Times New Roman" w:cs="Times New Roman"/>
          <w:sz w:val="24"/>
          <w:szCs w:val="24"/>
        </w:rPr>
        <w:t xml:space="preserve">Covid-19 </w:t>
      </w:r>
      <w:r w:rsidR="00732CED" w:rsidRPr="00732CED">
        <w:rPr>
          <w:rFonts w:ascii="Times New Roman" w:hAnsi="Times New Roman" w:cs="Times New Roman"/>
          <w:sz w:val="24"/>
          <w:szCs w:val="24"/>
        </w:rPr>
        <w:t>pandemic</w:t>
      </w:r>
      <w:r w:rsidR="00732CED">
        <w:rPr>
          <w:rStyle w:val="FootnoteReference"/>
          <w:rFonts w:ascii="Times New Roman" w:hAnsi="Times New Roman" w:cs="Times New Roman"/>
          <w:sz w:val="24"/>
          <w:szCs w:val="24"/>
        </w:rPr>
        <w:footnoteReference w:id="7"/>
      </w:r>
      <w:r w:rsidR="00732CED">
        <w:rPr>
          <w:rFonts w:ascii="Times New Roman" w:hAnsi="Times New Roman" w:cs="Times New Roman"/>
          <w:sz w:val="24"/>
          <w:szCs w:val="24"/>
        </w:rPr>
        <w:t xml:space="preserve">.  </w:t>
      </w:r>
    </w:p>
    <w:p w14:paraId="02822E88" w14:textId="77777777" w:rsidR="00732CED" w:rsidRDefault="00732CED" w:rsidP="00732CED">
      <w:pPr>
        <w:spacing w:line="360" w:lineRule="auto"/>
        <w:ind w:firstLine="240"/>
        <w:jc w:val="both"/>
        <w:rPr>
          <w:rFonts w:ascii="Times New Roman" w:hAnsi="Times New Roman" w:cs="Times New Roman"/>
          <w:sz w:val="24"/>
          <w:szCs w:val="24"/>
        </w:rPr>
      </w:pPr>
    </w:p>
    <w:p w14:paraId="573FB6BA" w14:textId="77777777" w:rsidR="00732CED" w:rsidRDefault="00732CED" w:rsidP="00732CED">
      <w:pPr>
        <w:spacing w:line="360" w:lineRule="auto"/>
        <w:ind w:firstLine="240"/>
        <w:jc w:val="both"/>
        <w:rPr>
          <w:rFonts w:ascii="Times New Roman" w:hAnsi="Times New Roman" w:cs="Times New Roman"/>
          <w:sz w:val="24"/>
          <w:szCs w:val="24"/>
        </w:rPr>
      </w:pPr>
    </w:p>
    <w:p w14:paraId="4251D491" w14:textId="77777777" w:rsidR="00732CED" w:rsidRDefault="00732CED" w:rsidP="00732CED">
      <w:pPr>
        <w:spacing w:line="360" w:lineRule="auto"/>
        <w:ind w:firstLine="240"/>
        <w:jc w:val="both"/>
        <w:rPr>
          <w:rFonts w:ascii="Times New Roman" w:hAnsi="Times New Roman" w:cs="Times New Roman"/>
          <w:sz w:val="24"/>
          <w:szCs w:val="24"/>
        </w:rPr>
      </w:pPr>
    </w:p>
    <w:p w14:paraId="585484BC" w14:textId="77777777" w:rsidR="004D14AA" w:rsidRDefault="004D14AA" w:rsidP="00732CED">
      <w:pPr>
        <w:spacing w:line="360" w:lineRule="auto"/>
        <w:rPr>
          <w:rFonts w:ascii="Times New Roman" w:hAnsi="Times New Roman" w:cs="Times New Roman"/>
          <w:b/>
          <w:bCs/>
          <w:i/>
          <w:iCs/>
          <w:sz w:val="26"/>
          <w:szCs w:val="26"/>
        </w:rPr>
      </w:pPr>
    </w:p>
    <w:p w14:paraId="3D74F3C4" w14:textId="77777777" w:rsidR="00732CED" w:rsidRDefault="00732CED" w:rsidP="00732CED">
      <w:pPr>
        <w:spacing w:line="360" w:lineRule="auto"/>
        <w:rPr>
          <w:rFonts w:ascii="Times New Roman" w:hAnsi="Times New Roman" w:cs="Times New Roman"/>
          <w:b/>
          <w:bCs/>
          <w:i/>
          <w:iCs/>
          <w:sz w:val="26"/>
          <w:szCs w:val="26"/>
        </w:rPr>
      </w:pPr>
      <w:r w:rsidRPr="00732CED">
        <w:rPr>
          <w:rFonts w:ascii="Times New Roman" w:hAnsi="Times New Roman" w:cs="Times New Roman"/>
          <w:b/>
          <w:bCs/>
          <w:i/>
          <w:iCs/>
          <w:sz w:val="26"/>
          <w:szCs w:val="26"/>
        </w:rPr>
        <w:lastRenderedPageBreak/>
        <w:t>Reference</w:t>
      </w:r>
    </w:p>
    <w:p w14:paraId="4AB88D61" w14:textId="77777777" w:rsidR="00732CED" w:rsidRDefault="00732CED" w:rsidP="00D76D6A">
      <w:pPr>
        <w:pStyle w:val="FootnoteText"/>
        <w:spacing w:line="360" w:lineRule="auto"/>
        <w:ind w:firstLine="180"/>
        <w:jc w:val="both"/>
        <w:rPr>
          <w:rFonts w:ascii="Times New Roman" w:hAnsi="Times New Roman" w:cs="Times New Roman"/>
          <w:color w:val="222222"/>
          <w:sz w:val="24"/>
          <w:szCs w:val="24"/>
          <w:shd w:val="clear" w:color="auto" w:fill="FFFFFF"/>
        </w:rPr>
      </w:pPr>
      <w:proofErr w:type="spellStart"/>
      <w:r w:rsidRPr="00732CED">
        <w:rPr>
          <w:rFonts w:ascii="Times New Roman" w:hAnsi="Times New Roman" w:cs="Times New Roman"/>
          <w:color w:val="222222"/>
          <w:sz w:val="24"/>
          <w:szCs w:val="24"/>
          <w:shd w:val="clear" w:color="auto" w:fill="FFFFFF"/>
        </w:rPr>
        <w:t>Altonji</w:t>
      </w:r>
      <w:proofErr w:type="spellEnd"/>
      <w:r w:rsidRPr="00732CED">
        <w:rPr>
          <w:rFonts w:ascii="Times New Roman" w:hAnsi="Times New Roman" w:cs="Times New Roman"/>
          <w:color w:val="222222"/>
          <w:sz w:val="24"/>
          <w:szCs w:val="24"/>
          <w:shd w:val="clear" w:color="auto" w:fill="FFFFFF"/>
        </w:rPr>
        <w:t>, J. G., &amp; Blank, R. M. (1999). Race and gender in the labor market. </w:t>
      </w:r>
      <w:r w:rsidRPr="00732CED">
        <w:rPr>
          <w:rFonts w:ascii="Times New Roman" w:hAnsi="Times New Roman" w:cs="Times New Roman"/>
          <w:i/>
          <w:iCs/>
          <w:color w:val="222222"/>
          <w:sz w:val="24"/>
          <w:szCs w:val="24"/>
          <w:shd w:val="clear" w:color="auto" w:fill="FFFFFF"/>
        </w:rPr>
        <w:t>Handbook of labor economics</w:t>
      </w:r>
      <w:r w:rsidRPr="00732CED">
        <w:rPr>
          <w:rFonts w:ascii="Times New Roman" w:hAnsi="Times New Roman" w:cs="Times New Roman"/>
          <w:color w:val="222222"/>
          <w:sz w:val="24"/>
          <w:szCs w:val="24"/>
          <w:shd w:val="clear" w:color="auto" w:fill="FFFFFF"/>
        </w:rPr>
        <w:t>, </w:t>
      </w:r>
      <w:r w:rsidRPr="00732CED">
        <w:rPr>
          <w:rFonts w:ascii="Times New Roman" w:hAnsi="Times New Roman" w:cs="Times New Roman"/>
          <w:i/>
          <w:iCs/>
          <w:color w:val="222222"/>
          <w:sz w:val="24"/>
          <w:szCs w:val="24"/>
          <w:shd w:val="clear" w:color="auto" w:fill="FFFFFF"/>
        </w:rPr>
        <w:t>3</w:t>
      </w:r>
      <w:r w:rsidRPr="00732CED">
        <w:rPr>
          <w:rFonts w:ascii="Times New Roman" w:hAnsi="Times New Roman" w:cs="Times New Roman"/>
          <w:color w:val="222222"/>
          <w:sz w:val="24"/>
          <w:szCs w:val="24"/>
          <w:shd w:val="clear" w:color="auto" w:fill="FFFFFF"/>
        </w:rPr>
        <w:t>, 3143-3259.</w:t>
      </w:r>
    </w:p>
    <w:p w14:paraId="2514A0A6" w14:textId="77777777" w:rsidR="00732CED" w:rsidRPr="00732CED" w:rsidRDefault="00732CED" w:rsidP="00D76D6A">
      <w:pPr>
        <w:pStyle w:val="FootnoteText"/>
        <w:spacing w:line="360" w:lineRule="auto"/>
        <w:ind w:firstLine="180"/>
        <w:jc w:val="both"/>
        <w:rPr>
          <w:rFonts w:ascii="Times New Roman" w:hAnsi="Times New Roman" w:cs="Times New Roman"/>
          <w:color w:val="222222"/>
          <w:sz w:val="24"/>
          <w:szCs w:val="24"/>
          <w:shd w:val="clear" w:color="auto" w:fill="FFFFFF"/>
        </w:rPr>
      </w:pPr>
      <w:r w:rsidRPr="00732CED">
        <w:rPr>
          <w:rFonts w:ascii="Times New Roman" w:hAnsi="Times New Roman" w:cs="Times New Roman"/>
          <w:color w:val="222222"/>
          <w:sz w:val="24"/>
          <w:szCs w:val="24"/>
          <w:shd w:val="clear" w:color="auto" w:fill="FFFFFF"/>
        </w:rPr>
        <w:t>Azmat, G., &amp; Ferrer, R. (2017). Gender gaps in performance: Evidence from young lawyers. </w:t>
      </w:r>
      <w:r w:rsidRPr="00732CED">
        <w:rPr>
          <w:rFonts w:ascii="Times New Roman" w:hAnsi="Times New Roman" w:cs="Times New Roman"/>
          <w:i/>
          <w:iCs/>
          <w:color w:val="222222"/>
          <w:sz w:val="24"/>
          <w:szCs w:val="24"/>
          <w:shd w:val="clear" w:color="auto" w:fill="FFFFFF"/>
        </w:rPr>
        <w:t>Journal of Political Economy</w:t>
      </w:r>
      <w:r w:rsidRPr="00732CED">
        <w:rPr>
          <w:rFonts w:ascii="Times New Roman" w:hAnsi="Times New Roman" w:cs="Times New Roman"/>
          <w:color w:val="222222"/>
          <w:sz w:val="24"/>
          <w:szCs w:val="24"/>
          <w:shd w:val="clear" w:color="auto" w:fill="FFFFFF"/>
        </w:rPr>
        <w:t>, </w:t>
      </w:r>
      <w:r w:rsidRPr="00732CED">
        <w:rPr>
          <w:rFonts w:ascii="Times New Roman" w:hAnsi="Times New Roman" w:cs="Times New Roman"/>
          <w:i/>
          <w:iCs/>
          <w:color w:val="222222"/>
          <w:sz w:val="24"/>
          <w:szCs w:val="24"/>
          <w:shd w:val="clear" w:color="auto" w:fill="FFFFFF"/>
        </w:rPr>
        <w:t>125</w:t>
      </w:r>
      <w:r w:rsidRPr="00732CED">
        <w:rPr>
          <w:rFonts w:ascii="Times New Roman" w:hAnsi="Times New Roman" w:cs="Times New Roman"/>
          <w:color w:val="222222"/>
          <w:sz w:val="24"/>
          <w:szCs w:val="24"/>
          <w:shd w:val="clear" w:color="auto" w:fill="FFFFFF"/>
        </w:rPr>
        <w:t>(5), 1306-1355.</w:t>
      </w:r>
    </w:p>
    <w:p w14:paraId="2363D50D" w14:textId="77777777" w:rsidR="00732CED" w:rsidRDefault="00732CED" w:rsidP="00D76D6A">
      <w:pPr>
        <w:pStyle w:val="FootnoteText"/>
        <w:spacing w:line="360" w:lineRule="auto"/>
        <w:ind w:firstLine="180"/>
        <w:jc w:val="both"/>
        <w:rPr>
          <w:rFonts w:ascii="Times New Roman" w:hAnsi="Times New Roman" w:cs="Times New Roman"/>
          <w:color w:val="222222"/>
          <w:sz w:val="24"/>
          <w:szCs w:val="24"/>
          <w:shd w:val="clear" w:color="auto" w:fill="FFFFFF"/>
        </w:rPr>
      </w:pPr>
      <w:r w:rsidRPr="00732CED">
        <w:rPr>
          <w:rFonts w:ascii="Times New Roman" w:hAnsi="Times New Roman" w:cs="Times New Roman"/>
          <w:color w:val="222222"/>
          <w:sz w:val="24"/>
          <w:szCs w:val="24"/>
          <w:shd w:val="clear" w:color="auto" w:fill="FFFFFF"/>
        </w:rPr>
        <w:t xml:space="preserve">Dang, H. A., </w:t>
      </w:r>
      <w:proofErr w:type="spellStart"/>
      <w:r w:rsidRPr="00732CED">
        <w:rPr>
          <w:rFonts w:ascii="Times New Roman" w:hAnsi="Times New Roman" w:cs="Times New Roman"/>
          <w:color w:val="222222"/>
          <w:sz w:val="24"/>
          <w:szCs w:val="24"/>
          <w:shd w:val="clear" w:color="auto" w:fill="FFFFFF"/>
        </w:rPr>
        <w:t>Malesky</w:t>
      </w:r>
      <w:proofErr w:type="spellEnd"/>
      <w:r w:rsidRPr="00732CED">
        <w:rPr>
          <w:rFonts w:ascii="Times New Roman" w:hAnsi="Times New Roman" w:cs="Times New Roman"/>
          <w:color w:val="222222"/>
          <w:sz w:val="24"/>
          <w:szCs w:val="24"/>
          <w:shd w:val="clear" w:color="auto" w:fill="FFFFFF"/>
        </w:rPr>
        <w:t>, E., &amp; Nguyen, C. V. (2020). </w:t>
      </w:r>
      <w:r w:rsidRPr="00732CED">
        <w:rPr>
          <w:rFonts w:ascii="Times New Roman" w:hAnsi="Times New Roman" w:cs="Times New Roman"/>
          <w:i/>
          <w:iCs/>
          <w:color w:val="222222"/>
          <w:sz w:val="24"/>
          <w:szCs w:val="24"/>
          <w:shd w:val="clear" w:color="auto" w:fill="FFFFFF"/>
        </w:rPr>
        <w:t>Inequality and Support for Government Responses to COVID-19</w:t>
      </w:r>
      <w:r w:rsidRPr="00732CED">
        <w:rPr>
          <w:rFonts w:ascii="Times New Roman" w:hAnsi="Times New Roman" w:cs="Times New Roman"/>
          <w:color w:val="222222"/>
          <w:sz w:val="24"/>
          <w:szCs w:val="24"/>
          <w:shd w:val="clear" w:color="auto" w:fill="FFFFFF"/>
        </w:rPr>
        <w:t> (No. 13816). IZA Discussion Papers.</w:t>
      </w:r>
    </w:p>
    <w:p w14:paraId="47F117E8" w14:textId="77777777" w:rsidR="00732CED" w:rsidRDefault="00732CED" w:rsidP="00D76D6A">
      <w:pPr>
        <w:pStyle w:val="FootnoteText"/>
        <w:spacing w:line="360" w:lineRule="auto"/>
        <w:ind w:firstLine="180"/>
        <w:jc w:val="both"/>
        <w:rPr>
          <w:rFonts w:ascii="Times New Roman" w:hAnsi="Times New Roman" w:cs="Times New Roman"/>
          <w:color w:val="222222"/>
          <w:sz w:val="24"/>
          <w:szCs w:val="24"/>
          <w:shd w:val="clear" w:color="auto" w:fill="FFFFFF"/>
        </w:rPr>
      </w:pPr>
      <w:proofErr w:type="spellStart"/>
      <w:r w:rsidRPr="00732CED">
        <w:rPr>
          <w:rFonts w:ascii="Times New Roman" w:hAnsi="Times New Roman" w:cs="Times New Roman"/>
          <w:color w:val="222222"/>
          <w:sz w:val="24"/>
          <w:szCs w:val="24"/>
          <w:shd w:val="clear" w:color="auto" w:fill="FFFFFF"/>
        </w:rPr>
        <w:t>Fama</w:t>
      </w:r>
      <w:proofErr w:type="spellEnd"/>
      <w:r w:rsidRPr="00732CED">
        <w:rPr>
          <w:rFonts w:ascii="Times New Roman" w:hAnsi="Times New Roman" w:cs="Times New Roman"/>
          <w:color w:val="222222"/>
          <w:sz w:val="24"/>
          <w:szCs w:val="24"/>
          <w:shd w:val="clear" w:color="auto" w:fill="FFFFFF"/>
        </w:rPr>
        <w:t>, E. F. (1980). Agency problems and the theory of the firm. </w:t>
      </w:r>
      <w:r w:rsidRPr="00732CED">
        <w:rPr>
          <w:rFonts w:ascii="Times New Roman" w:hAnsi="Times New Roman" w:cs="Times New Roman"/>
          <w:i/>
          <w:iCs/>
          <w:color w:val="222222"/>
          <w:sz w:val="24"/>
          <w:szCs w:val="24"/>
          <w:shd w:val="clear" w:color="auto" w:fill="FFFFFF"/>
        </w:rPr>
        <w:t>Journal of political economy</w:t>
      </w:r>
      <w:r w:rsidRPr="00732CED">
        <w:rPr>
          <w:rFonts w:ascii="Times New Roman" w:hAnsi="Times New Roman" w:cs="Times New Roman"/>
          <w:color w:val="222222"/>
          <w:sz w:val="24"/>
          <w:szCs w:val="24"/>
          <w:shd w:val="clear" w:color="auto" w:fill="FFFFFF"/>
        </w:rPr>
        <w:t>, </w:t>
      </w:r>
      <w:r w:rsidRPr="00732CED">
        <w:rPr>
          <w:rFonts w:ascii="Times New Roman" w:hAnsi="Times New Roman" w:cs="Times New Roman"/>
          <w:i/>
          <w:iCs/>
          <w:color w:val="222222"/>
          <w:sz w:val="24"/>
          <w:szCs w:val="24"/>
          <w:shd w:val="clear" w:color="auto" w:fill="FFFFFF"/>
        </w:rPr>
        <w:t>88</w:t>
      </w:r>
      <w:r w:rsidRPr="00732CED">
        <w:rPr>
          <w:rFonts w:ascii="Times New Roman" w:hAnsi="Times New Roman" w:cs="Times New Roman"/>
          <w:color w:val="222222"/>
          <w:sz w:val="24"/>
          <w:szCs w:val="24"/>
          <w:shd w:val="clear" w:color="auto" w:fill="FFFFFF"/>
        </w:rPr>
        <w:t>(2), 288-307.</w:t>
      </w:r>
    </w:p>
    <w:p w14:paraId="072F045D" w14:textId="77777777" w:rsidR="00732CED" w:rsidRDefault="00732CED" w:rsidP="00D76D6A">
      <w:pPr>
        <w:pStyle w:val="FootnoteText"/>
        <w:spacing w:line="360" w:lineRule="auto"/>
        <w:ind w:firstLine="180"/>
        <w:jc w:val="both"/>
        <w:rPr>
          <w:rFonts w:ascii="Times New Roman" w:hAnsi="Times New Roman" w:cs="Times New Roman"/>
          <w:color w:val="222222"/>
          <w:sz w:val="24"/>
          <w:szCs w:val="24"/>
          <w:shd w:val="clear" w:color="auto" w:fill="FFFFFF"/>
        </w:rPr>
      </w:pPr>
      <w:proofErr w:type="spellStart"/>
      <w:r w:rsidRPr="00732CED">
        <w:rPr>
          <w:rFonts w:ascii="Times New Roman" w:hAnsi="Times New Roman" w:cs="Times New Roman"/>
          <w:color w:val="222222"/>
          <w:sz w:val="24"/>
          <w:szCs w:val="24"/>
          <w:shd w:val="clear" w:color="auto" w:fill="FFFFFF"/>
        </w:rPr>
        <w:t>Holmström</w:t>
      </w:r>
      <w:proofErr w:type="spellEnd"/>
      <w:r w:rsidRPr="00732CED">
        <w:rPr>
          <w:rFonts w:ascii="Times New Roman" w:hAnsi="Times New Roman" w:cs="Times New Roman"/>
          <w:color w:val="222222"/>
          <w:sz w:val="24"/>
          <w:szCs w:val="24"/>
          <w:shd w:val="clear" w:color="auto" w:fill="FFFFFF"/>
        </w:rPr>
        <w:t>, B. (1999). Managerial incentive problems: A dynamic perspective. </w:t>
      </w:r>
      <w:r w:rsidRPr="00732CED">
        <w:rPr>
          <w:rFonts w:ascii="Times New Roman" w:hAnsi="Times New Roman" w:cs="Times New Roman"/>
          <w:i/>
          <w:iCs/>
          <w:color w:val="222222"/>
          <w:sz w:val="24"/>
          <w:szCs w:val="24"/>
          <w:shd w:val="clear" w:color="auto" w:fill="FFFFFF"/>
        </w:rPr>
        <w:t>The review of Economic studies</w:t>
      </w:r>
      <w:r w:rsidRPr="00732CED">
        <w:rPr>
          <w:rFonts w:ascii="Times New Roman" w:hAnsi="Times New Roman" w:cs="Times New Roman"/>
          <w:color w:val="222222"/>
          <w:sz w:val="24"/>
          <w:szCs w:val="24"/>
          <w:shd w:val="clear" w:color="auto" w:fill="FFFFFF"/>
        </w:rPr>
        <w:t>, </w:t>
      </w:r>
      <w:r w:rsidRPr="00732CED">
        <w:rPr>
          <w:rFonts w:ascii="Times New Roman" w:hAnsi="Times New Roman" w:cs="Times New Roman"/>
          <w:i/>
          <w:iCs/>
          <w:color w:val="222222"/>
          <w:sz w:val="24"/>
          <w:szCs w:val="24"/>
          <w:shd w:val="clear" w:color="auto" w:fill="FFFFFF"/>
        </w:rPr>
        <w:t>66</w:t>
      </w:r>
      <w:r w:rsidRPr="00732CED">
        <w:rPr>
          <w:rFonts w:ascii="Times New Roman" w:hAnsi="Times New Roman" w:cs="Times New Roman"/>
          <w:color w:val="222222"/>
          <w:sz w:val="24"/>
          <w:szCs w:val="24"/>
          <w:shd w:val="clear" w:color="auto" w:fill="FFFFFF"/>
        </w:rPr>
        <w:t>(1), 169-182.</w:t>
      </w:r>
    </w:p>
    <w:p w14:paraId="31C71889" w14:textId="77777777" w:rsidR="00732CED" w:rsidRDefault="00732CED" w:rsidP="00D76D6A">
      <w:pPr>
        <w:pStyle w:val="FootnoteText"/>
        <w:spacing w:line="360" w:lineRule="auto"/>
        <w:ind w:firstLine="180"/>
        <w:jc w:val="both"/>
        <w:rPr>
          <w:rFonts w:ascii="Times New Roman" w:hAnsi="Times New Roman" w:cs="Times New Roman"/>
          <w:color w:val="222222"/>
          <w:sz w:val="24"/>
          <w:szCs w:val="24"/>
          <w:shd w:val="clear" w:color="auto" w:fill="FFFFFF"/>
        </w:rPr>
      </w:pPr>
      <w:r w:rsidRPr="00732CED">
        <w:rPr>
          <w:rFonts w:ascii="Times New Roman" w:hAnsi="Times New Roman" w:cs="Times New Roman"/>
          <w:color w:val="222222"/>
          <w:sz w:val="24"/>
          <w:szCs w:val="24"/>
          <w:shd w:val="clear" w:color="auto" w:fill="FFFFFF"/>
        </w:rPr>
        <w:t xml:space="preserve">Imai, K., </w:t>
      </w:r>
      <w:proofErr w:type="spellStart"/>
      <w:r w:rsidRPr="00732CED">
        <w:rPr>
          <w:rFonts w:ascii="Times New Roman" w:hAnsi="Times New Roman" w:cs="Times New Roman"/>
          <w:color w:val="222222"/>
          <w:sz w:val="24"/>
          <w:szCs w:val="24"/>
          <w:shd w:val="clear" w:color="auto" w:fill="FFFFFF"/>
        </w:rPr>
        <w:t>Keele</w:t>
      </w:r>
      <w:proofErr w:type="spellEnd"/>
      <w:r w:rsidRPr="00732CED">
        <w:rPr>
          <w:rFonts w:ascii="Times New Roman" w:hAnsi="Times New Roman" w:cs="Times New Roman"/>
          <w:color w:val="222222"/>
          <w:sz w:val="24"/>
          <w:szCs w:val="24"/>
          <w:shd w:val="clear" w:color="auto" w:fill="FFFFFF"/>
        </w:rPr>
        <w:t>, L., &amp; Tingley, D. (2010). A general approach to causal mediation analysis. </w:t>
      </w:r>
      <w:r w:rsidRPr="00732CED">
        <w:rPr>
          <w:rFonts w:ascii="Times New Roman" w:hAnsi="Times New Roman" w:cs="Times New Roman"/>
          <w:i/>
          <w:iCs/>
          <w:color w:val="222222"/>
          <w:sz w:val="24"/>
          <w:szCs w:val="24"/>
          <w:shd w:val="clear" w:color="auto" w:fill="FFFFFF"/>
        </w:rPr>
        <w:t>Psychological methods</w:t>
      </w:r>
      <w:r w:rsidRPr="00732CED">
        <w:rPr>
          <w:rFonts w:ascii="Times New Roman" w:hAnsi="Times New Roman" w:cs="Times New Roman"/>
          <w:color w:val="222222"/>
          <w:sz w:val="24"/>
          <w:szCs w:val="24"/>
          <w:shd w:val="clear" w:color="auto" w:fill="FFFFFF"/>
        </w:rPr>
        <w:t>, </w:t>
      </w:r>
      <w:r w:rsidRPr="00732CED">
        <w:rPr>
          <w:rFonts w:ascii="Times New Roman" w:hAnsi="Times New Roman" w:cs="Times New Roman"/>
          <w:i/>
          <w:iCs/>
          <w:color w:val="222222"/>
          <w:sz w:val="24"/>
          <w:szCs w:val="24"/>
          <w:shd w:val="clear" w:color="auto" w:fill="FFFFFF"/>
        </w:rPr>
        <w:t>15</w:t>
      </w:r>
      <w:r w:rsidRPr="00732CED">
        <w:rPr>
          <w:rFonts w:ascii="Times New Roman" w:hAnsi="Times New Roman" w:cs="Times New Roman"/>
          <w:color w:val="222222"/>
          <w:sz w:val="24"/>
          <w:szCs w:val="24"/>
          <w:shd w:val="clear" w:color="auto" w:fill="FFFFFF"/>
        </w:rPr>
        <w:t>(4), 309.</w:t>
      </w:r>
    </w:p>
    <w:p w14:paraId="3E0514D0" w14:textId="77777777" w:rsidR="000377C4" w:rsidRPr="00D76D6A" w:rsidRDefault="00732CED" w:rsidP="00D76D6A">
      <w:pPr>
        <w:pStyle w:val="FootnoteText"/>
        <w:spacing w:line="360" w:lineRule="auto"/>
        <w:ind w:firstLine="180"/>
        <w:jc w:val="both"/>
        <w:rPr>
          <w:rFonts w:ascii="Times New Roman" w:hAnsi="Times New Roman" w:cs="Times New Roman"/>
          <w:color w:val="222222"/>
          <w:sz w:val="24"/>
          <w:szCs w:val="24"/>
          <w:shd w:val="clear" w:color="auto" w:fill="FFFFFF"/>
        </w:rPr>
      </w:pPr>
      <w:r w:rsidRPr="00732CED">
        <w:rPr>
          <w:rFonts w:ascii="Times New Roman" w:hAnsi="Times New Roman" w:cs="Times New Roman"/>
          <w:color w:val="222222"/>
          <w:sz w:val="24"/>
          <w:szCs w:val="24"/>
          <w:shd w:val="clear" w:color="auto" w:fill="FFFFFF"/>
        </w:rPr>
        <w:t xml:space="preserve">Imai, K., </w:t>
      </w:r>
      <w:proofErr w:type="spellStart"/>
      <w:r w:rsidRPr="00732CED">
        <w:rPr>
          <w:rFonts w:ascii="Times New Roman" w:hAnsi="Times New Roman" w:cs="Times New Roman"/>
          <w:color w:val="222222"/>
          <w:sz w:val="24"/>
          <w:szCs w:val="24"/>
          <w:shd w:val="clear" w:color="auto" w:fill="FFFFFF"/>
        </w:rPr>
        <w:t>Keele</w:t>
      </w:r>
      <w:proofErr w:type="spellEnd"/>
      <w:r w:rsidRPr="00732CED">
        <w:rPr>
          <w:rFonts w:ascii="Times New Roman" w:hAnsi="Times New Roman" w:cs="Times New Roman"/>
          <w:color w:val="222222"/>
          <w:sz w:val="24"/>
          <w:szCs w:val="24"/>
          <w:shd w:val="clear" w:color="auto" w:fill="FFFFFF"/>
        </w:rPr>
        <w:t>, L., &amp; Yamamoto, T. (2010). Identification, inference and sensitivity analysis for causal mediation effects. </w:t>
      </w:r>
      <w:r w:rsidRPr="00732CED">
        <w:rPr>
          <w:rFonts w:ascii="Times New Roman" w:hAnsi="Times New Roman" w:cs="Times New Roman"/>
          <w:i/>
          <w:iCs/>
          <w:color w:val="222222"/>
          <w:sz w:val="24"/>
          <w:szCs w:val="24"/>
          <w:shd w:val="clear" w:color="auto" w:fill="FFFFFF"/>
        </w:rPr>
        <w:t>Statistical science</w:t>
      </w:r>
      <w:r w:rsidRPr="00732CED">
        <w:rPr>
          <w:rFonts w:ascii="Times New Roman" w:hAnsi="Times New Roman" w:cs="Times New Roman"/>
          <w:color w:val="222222"/>
          <w:sz w:val="24"/>
          <w:szCs w:val="24"/>
          <w:shd w:val="clear" w:color="auto" w:fill="FFFFFF"/>
        </w:rPr>
        <w:t>, 51-71.</w:t>
      </w:r>
      <w:r w:rsidR="00954416" w:rsidRPr="00732CED">
        <w:rPr>
          <w:rFonts w:ascii="Times New Roman" w:hAnsi="Times New Roman" w:cs="Times New Roman"/>
          <w:b/>
          <w:bCs/>
          <w:i/>
          <w:iCs/>
          <w:sz w:val="26"/>
          <w:szCs w:val="26"/>
        </w:rPr>
        <w:t xml:space="preserve"> </w:t>
      </w:r>
    </w:p>
    <w:sectPr w:rsidR="000377C4" w:rsidRPr="00D76D6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95111" w14:textId="77777777" w:rsidR="00FE1177" w:rsidRDefault="00FE1177" w:rsidP="00D17BDB">
      <w:pPr>
        <w:spacing w:after="0" w:line="240" w:lineRule="auto"/>
      </w:pPr>
      <w:r>
        <w:separator/>
      </w:r>
    </w:p>
  </w:endnote>
  <w:endnote w:type="continuationSeparator" w:id="0">
    <w:p w14:paraId="61767F30" w14:textId="77777777" w:rsidR="00FE1177" w:rsidRDefault="00FE1177" w:rsidP="00D17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Uighur">
    <w:altName w:val="Microsoft Uighur"/>
    <w:charset w:val="B2"/>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762022"/>
      <w:docPartObj>
        <w:docPartGallery w:val="Page Numbers (Bottom of Page)"/>
        <w:docPartUnique/>
      </w:docPartObj>
    </w:sdtPr>
    <w:sdtEndPr>
      <w:rPr>
        <w:noProof/>
      </w:rPr>
    </w:sdtEndPr>
    <w:sdtContent>
      <w:p w14:paraId="6BB19F50" w14:textId="7A808339" w:rsidR="00B31623" w:rsidRDefault="00B316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8BF64" w14:textId="77777777" w:rsidR="00B31623" w:rsidRDefault="00B31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4F3F8" w14:textId="77777777" w:rsidR="00FE1177" w:rsidRDefault="00FE1177" w:rsidP="00D17BDB">
      <w:pPr>
        <w:spacing w:after="0" w:line="240" w:lineRule="auto"/>
      </w:pPr>
      <w:r>
        <w:separator/>
      </w:r>
    </w:p>
  </w:footnote>
  <w:footnote w:type="continuationSeparator" w:id="0">
    <w:p w14:paraId="64C9D32E" w14:textId="77777777" w:rsidR="00FE1177" w:rsidRDefault="00FE1177" w:rsidP="00D17BDB">
      <w:pPr>
        <w:spacing w:after="0" w:line="240" w:lineRule="auto"/>
      </w:pPr>
      <w:r>
        <w:continuationSeparator/>
      </w:r>
    </w:p>
  </w:footnote>
  <w:footnote w:id="1">
    <w:p w14:paraId="14059BCA" w14:textId="77777777" w:rsidR="00D17BDB" w:rsidRPr="00D17BDB" w:rsidRDefault="00D17BDB">
      <w:pPr>
        <w:pStyle w:val="FootnoteText"/>
        <w:rPr>
          <w:rFonts w:ascii="Times New Roman" w:hAnsi="Times New Roman" w:cs="Times New Roman"/>
          <w:sz w:val="18"/>
          <w:szCs w:val="18"/>
        </w:rPr>
      </w:pPr>
      <w:r>
        <w:rPr>
          <w:rStyle w:val="FootnoteReference"/>
        </w:rPr>
        <w:footnoteRef/>
      </w:r>
      <w:r>
        <w:t xml:space="preserve"> </w:t>
      </w:r>
      <w:proofErr w:type="spellStart"/>
      <w:r w:rsidRPr="00D17BDB">
        <w:rPr>
          <w:rFonts w:ascii="Times New Roman" w:hAnsi="Times New Roman" w:cs="Times New Roman"/>
          <w:color w:val="222222"/>
          <w:sz w:val="18"/>
          <w:szCs w:val="18"/>
          <w:shd w:val="clear" w:color="auto" w:fill="FFFFFF"/>
        </w:rPr>
        <w:t>Altonji</w:t>
      </w:r>
      <w:proofErr w:type="spellEnd"/>
      <w:r w:rsidRPr="00D17BDB">
        <w:rPr>
          <w:rFonts w:ascii="Times New Roman" w:hAnsi="Times New Roman" w:cs="Times New Roman"/>
          <w:color w:val="222222"/>
          <w:sz w:val="18"/>
          <w:szCs w:val="18"/>
          <w:shd w:val="clear" w:color="auto" w:fill="FFFFFF"/>
        </w:rPr>
        <w:t>, J. G., &amp; Blank, R. M. (1999). Race and gender in the labor market. </w:t>
      </w:r>
      <w:r w:rsidRPr="00D17BDB">
        <w:rPr>
          <w:rFonts w:ascii="Times New Roman" w:hAnsi="Times New Roman" w:cs="Times New Roman"/>
          <w:i/>
          <w:iCs/>
          <w:color w:val="222222"/>
          <w:sz w:val="18"/>
          <w:szCs w:val="18"/>
          <w:shd w:val="clear" w:color="auto" w:fill="FFFFFF"/>
        </w:rPr>
        <w:t>Handbook of labor economics</w:t>
      </w:r>
      <w:r w:rsidRPr="00D17BDB">
        <w:rPr>
          <w:rFonts w:ascii="Times New Roman" w:hAnsi="Times New Roman" w:cs="Times New Roman"/>
          <w:color w:val="222222"/>
          <w:sz w:val="18"/>
          <w:szCs w:val="18"/>
          <w:shd w:val="clear" w:color="auto" w:fill="FFFFFF"/>
        </w:rPr>
        <w:t>, </w:t>
      </w:r>
      <w:r w:rsidRPr="00D17BDB">
        <w:rPr>
          <w:rFonts w:ascii="Times New Roman" w:hAnsi="Times New Roman" w:cs="Times New Roman"/>
          <w:i/>
          <w:iCs/>
          <w:color w:val="222222"/>
          <w:sz w:val="18"/>
          <w:szCs w:val="18"/>
          <w:shd w:val="clear" w:color="auto" w:fill="FFFFFF"/>
        </w:rPr>
        <w:t>3</w:t>
      </w:r>
      <w:r w:rsidRPr="00D17BDB">
        <w:rPr>
          <w:rFonts w:ascii="Times New Roman" w:hAnsi="Times New Roman" w:cs="Times New Roman"/>
          <w:color w:val="222222"/>
          <w:sz w:val="18"/>
          <w:szCs w:val="18"/>
          <w:shd w:val="clear" w:color="auto" w:fill="FFFFFF"/>
        </w:rPr>
        <w:t>, 3143-3259.</w:t>
      </w:r>
    </w:p>
  </w:footnote>
  <w:footnote w:id="2">
    <w:p w14:paraId="3636416A" w14:textId="77777777" w:rsidR="00757729" w:rsidRPr="00757729" w:rsidRDefault="00757729">
      <w:pPr>
        <w:pStyle w:val="FootnoteText"/>
        <w:rPr>
          <w:rFonts w:ascii="Times New Roman" w:hAnsi="Times New Roman" w:cs="Times New Roman"/>
          <w:sz w:val="18"/>
          <w:szCs w:val="18"/>
        </w:rPr>
      </w:pPr>
      <w:r>
        <w:rPr>
          <w:rStyle w:val="FootnoteReference"/>
        </w:rPr>
        <w:footnoteRef/>
      </w:r>
      <w:r>
        <w:t xml:space="preserve"> </w:t>
      </w:r>
      <w:proofErr w:type="spellStart"/>
      <w:r w:rsidRPr="00757729">
        <w:rPr>
          <w:rFonts w:ascii="Times New Roman" w:hAnsi="Times New Roman" w:cs="Times New Roman"/>
          <w:color w:val="222222"/>
          <w:sz w:val="18"/>
          <w:szCs w:val="18"/>
          <w:shd w:val="clear" w:color="auto" w:fill="FFFFFF"/>
        </w:rPr>
        <w:t>Fama</w:t>
      </w:r>
      <w:proofErr w:type="spellEnd"/>
      <w:r w:rsidRPr="00757729">
        <w:rPr>
          <w:rFonts w:ascii="Times New Roman" w:hAnsi="Times New Roman" w:cs="Times New Roman"/>
          <w:color w:val="222222"/>
          <w:sz w:val="18"/>
          <w:szCs w:val="18"/>
          <w:shd w:val="clear" w:color="auto" w:fill="FFFFFF"/>
        </w:rPr>
        <w:t>, E. F. (1980). Agency problems and the theory of the firm. </w:t>
      </w:r>
      <w:r w:rsidRPr="00757729">
        <w:rPr>
          <w:rFonts w:ascii="Times New Roman" w:hAnsi="Times New Roman" w:cs="Times New Roman"/>
          <w:i/>
          <w:iCs/>
          <w:color w:val="222222"/>
          <w:sz w:val="18"/>
          <w:szCs w:val="18"/>
          <w:shd w:val="clear" w:color="auto" w:fill="FFFFFF"/>
        </w:rPr>
        <w:t>Journal of political economy</w:t>
      </w:r>
      <w:r w:rsidRPr="00757729">
        <w:rPr>
          <w:rFonts w:ascii="Times New Roman" w:hAnsi="Times New Roman" w:cs="Times New Roman"/>
          <w:color w:val="222222"/>
          <w:sz w:val="18"/>
          <w:szCs w:val="18"/>
          <w:shd w:val="clear" w:color="auto" w:fill="FFFFFF"/>
        </w:rPr>
        <w:t>, </w:t>
      </w:r>
      <w:r w:rsidRPr="00757729">
        <w:rPr>
          <w:rFonts w:ascii="Times New Roman" w:hAnsi="Times New Roman" w:cs="Times New Roman"/>
          <w:i/>
          <w:iCs/>
          <w:color w:val="222222"/>
          <w:sz w:val="18"/>
          <w:szCs w:val="18"/>
          <w:shd w:val="clear" w:color="auto" w:fill="FFFFFF"/>
        </w:rPr>
        <w:t>88</w:t>
      </w:r>
      <w:r w:rsidRPr="00757729">
        <w:rPr>
          <w:rFonts w:ascii="Times New Roman" w:hAnsi="Times New Roman" w:cs="Times New Roman"/>
          <w:color w:val="222222"/>
          <w:sz w:val="18"/>
          <w:szCs w:val="18"/>
          <w:shd w:val="clear" w:color="auto" w:fill="FFFFFF"/>
        </w:rPr>
        <w:t>(2), 288-307.</w:t>
      </w:r>
    </w:p>
  </w:footnote>
  <w:footnote w:id="3">
    <w:p w14:paraId="5A785FB7" w14:textId="77777777" w:rsidR="00757729" w:rsidRPr="00757729" w:rsidRDefault="00757729" w:rsidP="00757729">
      <w:pPr>
        <w:pStyle w:val="FootnoteText"/>
        <w:jc w:val="both"/>
        <w:rPr>
          <w:rFonts w:ascii="Times New Roman" w:hAnsi="Times New Roman" w:cs="Times New Roman"/>
          <w:sz w:val="18"/>
          <w:szCs w:val="18"/>
        </w:rPr>
      </w:pPr>
      <w:r>
        <w:rPr>
          <w:rStyle w:val="FootnoteReference"/>
        </w:rPr>
        <w:footnoteRef/>
      </w:r>
      <w:r>
        <w:t xml:space="preserve"> </w:t>
      </w:r>
      <w:proofErr w:type="spellStart"/>
      <w:r w:rsidRPr="00757729">
        <w:rPr>
          <w:rFonts w:ascii="Times New Roman" w:hAnsi="Times New Roman" w:cs="Times New Roman"/>
          <w:color w:val="222222"/>
          <w:sz w:val="18"/>
          <w:szCs w:val="18"/>
          <w:shd w:val="clear" w:color="auto" w:fill="FFFFFF"/>
        </w:rPr>
        <w:t>Holmström</w:t>
      </w:r>
      <w:proofErr w:type="spellEnd"/>
      <w:r w:rsidRPr="00757729">
        <w:rPr>
          <w:rFonts w:ascii="Times New Roman" w:hAnsi="Times New Roman" w:cs="Times New Roman"/>
          <w:color w:val="222222"/>
          <w:sz w:val="18"/>
          <w:szCs w:val="18"/>
          <w:shd w:val="clear" w:color="auto" w:fill="FFFFFF"/>
        </w:rPr>
        <w:t>, B. (1999). Managerial incentive problems: A dynamic perspective. </w:t>
      </w:r>
      <w:r w:rsidRPr="00757729">
        <w:rPr>
          <w:rFonts w:ascii="Times New Roman" w:hAnsi="Times New Roman" w:cs="Times New Roman"/>
          <w:i/>
          <w:iCs/>
          <w:color w:val="222222"/>
          <w:sz w:val="18"/>
          <w:szCs w:val="18"/>
          <w:shd w:val="clear" w:color="auto" w:fill="FFFFFF"/>
        </w:rPr>
        <w:t>The review of Economic studies</w:t>
      </w:r>
      <w:r w:rsidRPr="00757729">
        <w:rPr>
          <w:rFonts w:ascii="Times New Roman" w:hAnsi="Times New Roman" w:cs="Times New Roman"/>
          <w:color w:val="222222"/>
          <w:sz w:val="18"/>
          <w:szCs w:val="18"/>
          <w:shd w:val="clear" w:color="auto" w:fill="FFFFFF"/>
        </w:rPr>
        <w:t>, </w:t>
      </w:r>
      <w:r w:rsidRPr="00757729">
        <w:rPr>
          <w:rFonts w:ascii="Times New Roman" w:hAnsi="Times New Roman" w:cs="Times New Roman"/>
          <w:i/>
          <w:iCs/>
          <w:color w:val="222222"/>
          <w:sz w:val="18"/>
          <w:szCs w:val="18"/>
          <w:shd w:val="clear" w:color="auto" w:fill="FFFFFF"/>
        </w:rPr>
        <w:t>66</w:t>
      </w:r>
      <w:r w:rsidRPr="00757729">
        <w:rPr>
          <w:rFonts w:ascii="Times New Roman" w:hAnsi="Times New Roman" w:cs="Times New Roman"/>
          <w:color w:val="222222"/>
          <w:sz w:val="18"/>
          <w:szCs w:val="18"/>
          <w:shd w:val="clear" w:color="auto" w:fill="FFFFFF"/>
        </w:rPr>
        <w:t>(1), 169-182.</w:t>
      </w:r>
    </w:p>
  </w:footnote>
  <w:footnote w:id="4">
    <w:p w14:paraId="56FCD203" w14:textId="77777777" w:rsidR="00B566AF" w:rsidRPr="00B566AF" w:rsidRDefault="00B566AF">
      <w:pPr>
        <w:pStyle w:val="FootnoteText"/>
        <w:rPr>
          <w:rFonts w:ascii="Times New Roman" w:hAnsi="Times New Roman" w:cs="Times New Roman"/>
          <w:sz w:val="18"/>
          <w:szCs w:val="18"/>
        </w:rPr>
      </w:pPr>
      <w:r>
        <w:rPr>
          <w:rStyle w:val="FootnoteReference"/>
        </w:rPr>
        <w:footnoteRef/>
      </w:r>
      <w:r>
        <w:t xml:space="preserve"> </w:t>
      </w:r>
      <w:r w:rsidRPr="00B566AF">
        <w:rPr>
          <w:rFonts w:ascii="Times New Roman" w:hAnsi="Times New Roman" w:cs="Times New Roman"/>
          <w:sz w:val="18"/>
          <w:szCs w:val="18"/>
        </w:rPr>
        <w:t xml:space="preserve">See the detailed information on Page 1334 of the representative paper. </w:t>
      </w:r>
    </w:p>
  </w:footnote>
  <w:footnote w:id="5">
    <w:p w14:paraId="3C119176" w14:textId="77777777" w:rsidR="00583C69" w:rsidRPr="00356785" w:rsidRDefault="00583C69">
      <w:pPr>
        <w:pStyle w:val="FootnoteText"/>
        <w:rPr>
          <w:rFonts w:ascii="Times New Roman" w:hAnsi="Times New Roman" w:cs="Times New Roman"/>
          <w:sz w:val="18"/>
          <w:szCs w:val="18"/>
        </w:rPr>
      </w:pPr>
      <w:r>
        <w:rPr>
          <w:rStyle w:val="FootnoteReference"/>
        </w:rPr>
        <w:footnoteRef/>
      </w:r>
      <w:r>
        <w:t xml:space="preserve"> </w:t>
      </w:r>
      <w:r w:rsidR="00356785" w:rsidRPr="00356785">
        <w:rPr>
          <w:rFonts w:ascii="Times New Roman" w:hAnsi="Times New Roman" w:cs="Times New Roman"/>
          <w:color w:val="222222"/>
          <w:sz w:val="18"/>
          <w:szCs w:val="18"/>
          <w:shd w:val="clear" w:color="auto" w:fill="FFFFFF"/>
        </w:rPr>
        <w:t xml:space="preserve">Imai, K., </w:t>
      </w:r>
      <w:proofErr w:type="spellStart"/>
      <w:r w:rsidR="00356785" w:rsidRPr="00356785">
        <w:rPr>
          <w:rFonts w:ascii="Times New Roman" w:hAnsi="Times New Roman" w:cs="Times New Roman"/>
          <w:color w:val="222222"/>
          <w:sz w:val="18"/>
          <w:szCs w:val="18"/>
          <w:shd w:val="clear" w:color="auto" w:fill="FFFFFF"/>
        </w:rPr>
        <w:t>Keele</w:t>
      </w:r>
      <w:proofErr w:type="spellEnd"/>
      <w:r w:rsidR="00356785" w:rsidRPr="00356785">
        <w:rPr>
          <w:rFonts w:ascii="Times New Roman" w:hAnsi="Times New Roman" w:cs="Times New Roman"/>
          <w:color w:val="222222"/>
          <w:sz w:val="18"/>
          <w:szCs w:val="18"/>
          <w:shd w:val="clear" w:color="auto" w:fill="FFFFFF"/>
        </w:rPr>
        <w:t>, L., &amp; Tingley, D. (2010). A general approach to causal mediation analysis. </w:t>
      </w:r>
      <w:r w:rsidR="00356785" w:rsidRPr="00356785">
        <w:rPr>
          <w:rFonts w:ascii="Times New Roman" w:hAnsi="Times New Roman" w:cs="Times New Roman"/>
          <w:i/>
          <w:iCs/>
          <w:color w:val="222222"/>
          <w:sz w:val="18"/>
          <w:szCs w:val="18"/>
          <w:shd w:val="clear" w:color="auto" w:fill="FFFFFF"/>
        </w:rPr>
        <w:t>Psychological methods</w:t>
      </w:r>
      <w:r w:rsidR="00356785" w:rsidRPr="00356785">
        <w:rPr>
          <w:rFonts w:ascii="Times New Roman" w:hAnsi="Times New Roman" w:cs="Times New Roman"/>
          <w:color w:val="222222"/>
          <w:sz w:val="18"/>
          <w:szCs w:val="18"/>
          <w:shd w:val="clear" w:color="auto" w:fill="FFFFFF"/>
        </w:rPr>
        <w:t>, </w:t>
      </w:r>
      <w:r w:rsidR="00356785" w:rsidRPr="00356785">
        <w:rPr>
          <w:rFonts w:ascii="Times New Roman" w:hAnsi="Times New Roman" w:cs="Times New Roman"/>
          <w:i/>
          <w:iCs/>
          <w:color w:val="222222"/>
          <w:sz w:val="18"/>
          <w:szCs w:val="18"/>
          <w:shd w:val="clear" w:color="auto" w:fill="FFFFFF"/>
        </w:rPr>
        <w:t>15</w:t>
      </w:r>
      <w:r w:rsidR="00356785" w:rsidRPr="00356785">
        <w:rPr>
          <w:rFonts w:ascii="Times New Roman" w:hAnsi="Times New Roman" w:cs="Times New Roman"/>
          <w:color w:val="222222"/>
          <w:sz w:val="18"/>
          <w:szCs w:val="18"/>
          <w:shd w:val="clear" w:color="auto" w:fill="FFFFFF"/>
        </w:rPr>
        <w:t>(4), 309.</w:t>
      </w:r>
    </w:p>
  </w:footnote>
  <w:footnote w:id="6">
    <w:p w14:paraId="09062394" w14:textId="77777777" w:rsidR="00583C69" w:rsidRPr="00356785" w:rsidRDefault="00583C69" w:rsidP="00D76D6A">
      <w:pPr>
        <w:pStyle w:val="FootnoteText"/>
        <w:rPr>
          <w:rFonts w:ascii="Times New Roman" w:hAnsi="Times New Roman" w:cs="Times New Roman"/>
          <w:sz w:val="18"/>
          <w:szCs w:val="18"/>
        </w:rPr>
      </w:pPr>
      <w:r>
        <w:rPr>
          <w:rStyle w:val="FootnoteReference"/>
        </w:rPr>
        <w:footnoteRef/>
      </w:r>
      <w:r>
        <w:t xml:space="preserve"> </w:t>
      </w:r>
      <w:r w:rsidR="00356785" w:rsidRPr="00356785">
        <w:rPr>
          <w:rFonts w:ascii="Times New Roman" w:hAnsi="Times New Roman" w:cs="Times New Roman"/>
          <w:color w:val="222222"/>
          <w:sz w:val="18"/>
          <w:szCs w:val="18"/>
          <w:shd w:val="clear" w:color="auto" w:fill="FFFFFF"/>
        </w:rPr>
        <w:t xml:space="preserve">Imai, K., </w:t>
      </w:r>
      <w:proofErr w:type="spellStart"/>
      <w:r w:rsidR="00356785" w:rsidRPr="00356785">
        <w:rPr>
          <w:rFonts w:ascii="Times New Roman" w:hAnsi="Times New Roman" w:cs="Times New Roman"/>
          <w:color w:val="222222"/>
          <w:sz w:val="18"/>
          <w:szCs w:val="18"/>
          <w:shd w:val="clear" w:color="auto" w:fill="FFFFFF"/>
        </w:rPr>
        <w:t>Keele</w:t>
      </w:r>
      <w:proofErr w:type="spellEnd"/>
      <w:r w:rsidR="00356785" w:rsidRPr="00356785">
        <w:rPr>
          <w:rFonts w:ascii="Times New Roman" w:hAnsi="Times New Roman" w:cs="Times New Roman"/>
          <w:color w:val="222222"/>
          <w:sz w:val="18"/>
          <w:szCs w:val="18"/>
          <w:shd w:val="clear" w:color="auto" w:fill="FFFFFF"/>
        </w:rPr>
        <w:t>, L., &amp; Yamamoto, T. (2010). Identification, inference and sensitivity analysis for causal mediation effects. </w:t>
      </w:r>
      <w:r w:rsidR="00356785" w:rsidRPr="00356785">
        <w:rPr>
          <w:rFonts w:ascii="Times New Roman" w:hAnsi="Times New Roman" w:cs="Times New Roman"/>
          <w:i/>
          <w:iCs/>
          <w:color w:val="222222"/>
          <w:sz w:val="18"/>
          <w:szCs w:val="18"/>
          <w:shd w:val="clear" w:color="auto" w:fill="FFFFFF"/>
        </w:rPr>
        <w:t>Statistical science</w:t>
      </w:r>
      <w:r w:rsidR="00356785" w:rsidRPr="00356785">
        <w:rPr>
          <w:rFonts w:ascii="Times New Roman" w:hAnsi="Times New Roman" w:cs="Times New Roman"/>
          <w:color w:val="222222"/>
          <w:sz w:val="18"/>
          <w:szCs w:val="18"/>
          <w:shd w:val="clear" w:color="auto" w:fill="FFFFFF"/>
        </w:rPr>
        <w:t>, 51-71.</w:t>
      </w:r>
    </w:p>
  </w:footnote>
  <w:footnote w:id="7">
    <w:p w14:paraId="4B8F91B9" w14:textId="77777777" w:rsidR="00732CED" w:rsidRPr="00732CED" w:rsidRDefault="00732CED" w:rsidP="00732CED">
      <w:pPr>
        <w:pStyle w:val="FootnoteText"/>
        <w:jc w:val="both"/>
        <w:rPr>
          <w:rFonts w:ascii="Times New Roman" w:hAnsi="Times New Roman" w:cs="Times New Roman"/>
          <w:sz w:val="18"/>
          <w:szCs w:val="18"/>
        </w:rPr>
      </w:pPr>
      <w:r>
        <w:rPr>
          <w:rStyle w:val="FootnoteReference"/>
        </w:rPr>
        <w:footnoteRef/>
      </w:r>
      <w:r>
        <w:t xml:space="preserve"> </w:t>
      </w:r>
      <w:r w:rsidRPr="00732CED">
        <w:rPr>
          <w:rFonts w:ascii="Times New Roman" w:hAnsi="Times New Roman" w:cs="Times New Roman"/>
          <w:color w:val="222222"/>
          <w:sz w:val="18"/>
          <w:szCs w:val="18"/>
          <w:shd w:val="clear" w:color="auto" w:fill="FFFFFF"/>
        </w:rPr>
        <w:t xml:space="preserve">Dang, H. A., </w:t>
      </w:r>
      <w:proofErr w:type="spellStart"/>
      <w:r w:rsidRPr="00732CED">
        <w:rPr>
          <w:rFonts w:ascii="Times New Roman" w:hAnsi="Times New Roman" w:cs="Times New Roman"/>
          <w:color w:val="222222"/>
          <w:sz w:val="18"/>
          <w:szCs w:val="18"/>
          <w:shd w:val="clear" w:color="auto" w:fill="FFFFFF"/>
        </w:rPr>
        <w:t>Malesky</w:t>
      </w:r>
      <w:proofErr w:type="spellEnd"/>
      <w:r w:rsidRPr="00732CED">
        <w:rPr>
          <w:rFonts w:ascii="Times New Roman" w:hAnsi="Times New Roman" w:cs="Times New Roman"/>
          <w:color w:val="222222"/>
          <w:sz w:val="18"/>
          <w:szCs w:val="18"/>
          <w:shd w:val="clear" w:color="auto" w:fill="FFFFFF"/>
        </w:rPr>
        <w:t>, E., &amp; Nguyen, C. V. (2020). </w:t>
      </w:r>
      <w:r w:rsidRPr="00732CED">
        <w:rPr>
          <w:rFonts w:ascii="Times New Roman" w:hAnsi="Times New Roman" w:cs="Times New Roman"/>
          <w:i/>
          <w:iCs/>
          <w:color w:val="222222"/>
          <w:sz w:val="18"/>
          <w:szCs w:val="18"/>
          <w:shd w:val="clear" w:color="auto" w:fill="FFFFFF"/>
        </w:rPr>
        <w:t>Inequality and Support for Government Responses to COVID-19</w:t>
      </w:r>
      <w:r w:rsidRPr="00732CED">
        <w:rPr>
          <w:rFonts w:ascii="Times New Roman" w:hAnsi="Times New Roman" w:cs="Times New Roman"/>
          <w:color w:val="222222"/>
          <w:sz w:val="18"/>
          <w:szCs w:val="18"/>
          <w:shd w:val="clear" w:color="auto" w:fill="FFFFFF"/>
        </w:rPr>
        <w:t> (No. 13816). IZA Discussion Papers.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1B"/>
    <w:rsid w:val="000004A4"/>
    <w:rsid w:val="00016FC9"/>
    <w:rsid w:val="000B4362"/>
    <w:rsid w:val="000D02DF"/>
    <w:rsid w:val="0033650E"/>
    <w:rsid w:val="00356785"/>
    <w:rsid w:val="00394894"/>
    <w:rsid w:val="003F3861"/>
    <w:rsid w:val="004A665B"/>
    <w:rsid w:val="004D14AA"/>
    <w:rsid w:val="00583C69"/>
    <w:rsid w:val="0060006F"/>
    <w:rsid w:val="00732CED"/>
    <w:rsid w:val="00757729"/>
    <w:rsid w:val="0079451B"/>
    <w:rsid w:val="00806B0E"/>
    <w:rsid w:val="0082788B"/>
    <w:rsid w:val="008E2CD1"/>
    <w:rsid w:val="00954416"/>
    <w:rsid w:val="00974202"/>
    <w:rsid w:val="009A526A"/>
    <w:rsid w:val="009C4CFC"/>
    <w:rsid w:val="00B31623"/>
    <w:rsid w:val="00B566AF"/>
    <w:rsid w:val="00B674BB"/>
    <w:rsid w:val="00BA7492"/>
    <w:rsid w:val="00C14BB5"/>
    <w:rsid w:val="00C87464"/>
    <w:rsid w:val="00CB466A"/>
    <w:rsid w:val="00D17BDB"/>
    <w:rsid w:val="00D356B0"/>
    <w:rsid w:val="00D76D6A"/>
    <w:rsid w:val="00DE22FA"/>
    <w:rsid w:val="00E153D4"/>
    <w:rsid w:val="00E17C21"/>
    <w:rsid w:val="00E7717A"/>
    <w:rsid w:val="00E86467"/>
    <w:rsid w:val="00E97A70"/>
    <w:rsid w:val="00ED3069"/>
    <w:rsid w:val="00FE1177"/>
    <w:rsid w:val="00FE77AA"/>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A1B4"/>
  <w15:chartTrackingRefBased/>
  <w15:docId w15:val="{2BBC8D7F-5CB4-433A-BFEC-49C129E9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17BDB"/>
    <w:pPr>
      <w:spacing w:after="0" w:line="240" w:lineRule="auto"/>
    </w:pPr>
    <w:rPr>
      <w:sz w:val="20"/>
      <w:szCs w:val="20"/>
    </w:rPr>
  </w:style>
  <w:style w:type="character" w:customStyle="1" w:styleId="FootnoteTextChar">
    <w:name w:val="Footnote Text Char"/>
    <w:basedOn w:val="DefaultParagraphFont"/>
    <w:link w:val="FootnoteText"/>
    <w:uiPriority w:val="99"/>
    <w:rsid w:val="00D17BDB"/>
    <w:rPr>
      <w:sz w:val="20"/>
      <w:szCs w:val="20"/>
    </w:rPr>
  </w:style>
  <w:style w:type="character" w:styleId="FootnoteReference">
    <w:name w:val="footnote reference"/>
    <w:basedOn w:val="DefaultParagraphFont"/>
    <w:uiPriority w:val="99"/>
    <w:semiHidden/>
    <w:unhideWhenUsed/>
    <w:rsid w:val="00D17BDB"/>
    <w:rPr>
      <w:vertAlign w:val="superscript"/>
    </w:rPr>
  </w:style>
  <w:style w:type="paragraph" w:styleId="Header">
    <w:name w:val="header"/>
    <w:basedOn w:val="Normal"/>
    <w:link w:val="HeaderChar"/>
    <w:uiPriority w:val="99"/>
    <w:unhideWhenUsed/>
    <w:rsid w:val="00B31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623"/>
  </w:style>
  <w:style w:type="paragraph" w:styleId="Footer">
    <w:name w:val="footer"/>
    <w:basedOn w:val="Normal"/>
    <w:link w:val="FooterChar"/>
    <w:uiPriority w:val="99"/>
    <w:unhideWhenUsed/>
    <w:rsid w:val="00B31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FC2F0-944D-4AB8-9AAC-EE390DFB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Ge</dc:creator>
  <cp:keywords/>
  <dc:description/>
  <cp:lastModifiedBy>Zekun Ge</cp:lastModifiedBy>
  <cp:revision>23</cp:revision>
  <cp:lastPrinted>2021-04-15T05:52:00Z</cp:lastPrinted>
  <dcterms:created xsi:type="dcterms:W3CDTF">2021-04-14T00:54:00Z</dcterms:created>
  <dcterms:modified xsi:type="dcterms:W3CDTF">2021-04-15T05:55:00Z</dcterms:modified>
</cp:coreProperties>
</file>