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Информатика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Предпроцессинг. SCSS.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А.К. Погребников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КИ21-17/2Б,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Вывод.................................................................................................................      3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Ход работы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теории был написан SCSS документ. Его скриншоты</w:t>
      </w:r>
      <w:r>
        <w:br/>
        <w:t xml:space="preserve">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3050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3050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Код SCSS документа часть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2574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2574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Код SCSS документа часть 2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2 Вывод</w:t>
      </w:r>
    </w:p>
    <w:p>
      <w:pPr>
        <w:spacing w:before="140" w:line="340" w:lineRule="exact"/>
        <w:jc w:val="both"/>
        <w:pStyle w:val="BaseStyle"/>
      </w:pPr>
      <w:r>
        <w:t xml:space="preserve">	Была изучена теория работы с SCSS и выполнены задания.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834504315553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9983450431555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r8wpe76pjryqvbkxnuagd.png"/><Relationship Id="rId7" Type="http://schemas.openxmlformats.org/officeDocument/2006/relationships/image" Target="media/fg5hbsklror1lpvdhhkwl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2023-03-15T19:02:53Z</dcterms:created>
  <dcterms:modified xsi:type="dcterms:W3CDTF">2023-03-15T19:02:53Z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