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pStyle w:val="Heading1"/></w:pPr><w:bookmarkStart w:id="1" w:name="_Toc1"/><w:r><w:t>1&nbsp;Вступ</w:t></w:r><w:bookmarkEnd w:id="1"/></w:p><w:p><w:pPr><w:pStyle w:val="Heading1"/></w:pPr><w:bookmarkStart w:id="2" w:name="_Toc2"/><w:r><w:t>2&nbsp;Діяльність педколективу зі створення умов для реалізації Закону України "Про загальну середню освіту"</w:t></w:r><w:bookmarkEnd w:id="2"/></w:p><w:p><w:pPr><w:pStyle w:val="Heading1"/></w:pPr><w:bookmarkStart w:id="3" w:name="_Toc3"/><w:r><w:t>3&nbsp;Розстановка педагогічних кадрів і розподіл обов"язків</w:t></w:r><w:bookmarkEnd w:id="3"/></w:p><w:p><w:pPr><w:pStyle w:val="Heading1"/></w:pPr><w:bookmarkStart w:id="4" w:name="_Toc4"/><w:r><w:t>4&nbsp;Управління діяльністю педагогічного колективу</w:t></w:r><w:bookmarkEnd w:id="4"/></w:p><w:p><w:pPr><w:pStyle w:val="Heading1"/></w:pPr><w:bookmarkStart w:id="5" w:name="_Toc5"/><w:r><w:t>5&nbsp;Навчально-методична робота. Підвищення кваліфікації вчителів</w:t></w:r><w:bookmarkEnd w:id="5"/></w:p><w:p><w:pPr><w:pStyle w:val="Heading1"/></w:pPr><w:bookmarkStart w:id="6" w:name="_Toc6"/><w:r><w:t>6&nbsp;Організація виховної роботи з дітьми</w:t></w:r><w:bookmarkEnd w:id="6"/></w:p><w:p><w:pPr><w:pStyle w:val="Heading1"/></w:pPr><w:bookmarkStart w:id="7" w:name="_Toc7"/><w:r><w:t>7&nbsp;Організація контрольно-аналітичної діяльності</w:t></w:r><w:bookmarkEnd w:id="7"/></w:p><w:p><w:pPr><w:pStyle w:val="Heading1"/></w:pPr><w:bookmarkStart w:id="8" w:name="_Toc8"/><w:r><w:t>8&nbsp;Робота з батьками, громадськістю та інше</w:t></w:r><w:bookmarkEnd w:id="8"/></w:p><w:p><w:pPr><w:pStyle w:val="Heading1"/></w:pPr><w:bookmarkStart w:id="9" w:name="_Toc9"/><w:r><w:t>9&nbsp;Охорона здоров"я та життя дітей. Охорона праці. Санітарно-профілактична і оздоровча робота. Формування здорового способу життя</w:t></w:r><w:bookmarkEnd w:id="9"/></w:p><w:p><w:pPr><w:pStyle w:val="Heading1"/></w:pPr><w:bookmarkStart w:id="10" w:name="_Toc10"/><w:r><w:t>10&nbsp;Фінансово-господарська діяльність</w:t></w:r><w:bookmarkEnd w:id="10"/></w:p><w:sectPr><w:pgSz w:orient="portrait" w:w="11905.511811023622" w:h="16837.79527559055"/><w:pgMar w:top="850" w:right="850" w:bottom="850" w:left="85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/>
    <w:rPr>
      <w:rFonts w:ascii="Calibri" w:hAnsi="Calibri" w:eastAsia="Calibri" w:cs="Calibri"/>
      <w:sz w:val="36"/>
      <w:szCs w:val="36"/>
      <w:b w:val="1"/>
      <w:bCs w:val="1"/>
      <w:i w:val="0"/>
      <w:iCs w:val="0"/>
    </w:rPr>
  </w:style>
  <w:style w:type="paragraph" w:styleId="Heading2">
    <w:link w:val="Heading2Char"/>
    <w:name w:val="heading 2"/>
    <w:basedOn w:val="Normal"/>
    <w:pPr/>
    <w:rPr>
      <w:rFonts w:ascii="Calibri" w:hAnsi="Calibri" w:eastAsia="Calibri" w:cs="Calibri"/>
      <w:sz w:val="32"/>
      <w:szCs w:val="32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2019-08-12T00:00:00+03:00</dcterms:created>
  <dcterms:modified xsi:type="dcterms:W3CDTF">2019-08-14T00:00:00+03:00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