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 54. Analysis of changes to the SPGZ in 2025 in terms of grounds</w:t>
      </w:r>
    </w:p>
    <w:p>
      <w:pPr>
        <w:pStyle w:val="Author"/>
      </w:pPr>
      <w:r>
        <w:t xml:space="preserve">Zelimkhan Gudiev</w:t>
      </w:r>
    </w:p>
    <w:p>
      <w:pPr>
        <w:pStyle w:val="Date"/>
      </w:pPr>
      <w:r>
        <w:t xml:space="preserve">2025-12-17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0" w:name="install-packages-and-attach-libraries"/>
    <w:p>
      <w:pPr>
        <w:pStyle w:val="Heading1"/>
      </w:pPr>
      <w:r>
        <w:t xml:space="preserve">Install packages and attach libraries</w:t>
      </w:r>
    </w:p>
    <w:p>
      <w:pPr>
        <w:pStyle w:val="SourceCode"/>
      </w:pPr>
      <w:r>
        <w:rPr>
          <w:rStyle w:val="CommentTok"/>
        </w:rPr>
        <w:t xml:space="preserve"># install.packages("psych")</w:t>
      </w:r>
      <w:r>
        <w:br/>
      </w:r>
      <w:r>
        <w:rPr>
          <w:rStyle w:val="CommentTok"/>
        </w:rPr>
        <w:t xml:space="preserve"># install.packages("lubridate")</w:t>
      </w:r>
      <w:r>
        <w:br/>
      </w:r>
      <w:r>
        <w:rPr>
          <w:rStyle w:val="CommentTok"/>
        </w:rPr>
        <w:t xml:space="preserve"># install.packages("purrr")</w:t>
      </w:r>
      <w:r>
        <w:br/>
      </w:r>
      <w:r>
        <w:rPr>
          <w:rStyle w:val="CommentTok"/>
        </w:rPr>
        <w:t xml:space="preserve"># install.packages("GGally")</w:t>
      </w:r>
      <w:r>
        <w:br/>
      </w:r>
      <w:r>
        <w:rPr>
          <w:rStyle w:val="CommentTok"/>
        </w:rPr>
        <w:t xml:space="preserve"># install.packages("skimr")</w:t>
      </w:r>
      <w:r>
        <w:br/>
      </w:r>
      <w:r>
        <w:rPr>
          <w:rStyle w:val="CommentTok"/>
        </w:rPr>
        <w:t xml:space="preserve"># install.packages("Writexl")</w:t>
      </w:r>
      <w:r>
        <w:br/>
      </w:r>
      <w:r>
        <w:rPr>
          <w:rStyle w:val="CommentTok"/>
        </w:rPr>
        <w:t xml:space="preserve"># install.packages("corrplot")</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(googlesheets4)</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(GGally)</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(writexl)</w:t>
      </w:r>
      <w:r>
        <w:br/>
      </w:r>
      <w:r>
        <w:rPr>
          <w:rStyle w:val="FunctionTok"/>
        </w:rPr>
        <w:t xml:space="preserve">library</w:t>
      </w:r>
      <w:r>
        <w:rPr>
          <w:rStyle w:val="NormalTok"/>
        </w:rPr>
        <w:t xml:space="preserve">(corrplot)</w:t>
      </w:r>
    </w:p>
    <w:bookmarkEnd w:id="20"/>
    <w:bookmarkStart w:id="32" w:name="business-task-context-and-scope-of-work"/>
    <w:p>
      <w:pPr>
        <w:pStyle w:val="Heading1"/>
      </w:pPr>
      <w:r>
        <w:rPr>
          <w:b/>
          <w:bCs/>
        </w:rPr>
        <w:t xml:space="preserve">1. Business task, context and scope of work</w:t>
      </w:r>
    </w:p>
    <w:bookmarkStart w:id="30" w:name="key-tasks-and-deliverables"/>
    <w:p>
      <w:pPr>
        <w:pStyle w:val="Heading2"/>
      </w:pPr>
      <w:r>
        <w:rPr>
          <w:b/>
          <w:bCs/>
        </w:rPr>
        <w:t xml:space="preserve">1.1. Key tasks and deliverable(s)</w:t>
      </w:r>
    </w:p>
    <w:bookmarkStart w:id="25" w:name="business-task"/>
    <w:p>
      <w:pPr>
        <w:pStyle w:val="Heading3"/>
      </w:pPr>
      <w:r>
        <w:rPr>
          <w:b/>
          <w:bCs/>
        </w:rPr>
        <w:t xml:space="preserve">1.1.1. Business task</w:t>
      </w:r>
    </w:p>
    <w:p>
      <w:pPr>
        <w:pStyle w:val="FirstParagraph"/>
      </w:pPr>
      <w:r>
        <w:t xml:space="preserve">Determine the number of changes made to the SPGZ in 2025 for each of possible scenarios (cases) for the subsequent determination of frequency of scenarios (cases) in which customers receive notifications (in accordance with</w:t>
      </w:r>
      <w:r>
        <w:t xml:space="preserve"> </w:t>
      </w:r>
      <w:r>
        <w:t xml:space="preserve">“</w:t>
      </w:r>
      <w:hyperlink r:id="rId21">
        <w:r>
          <w:rPr>
            <w:rStyle w:val="Hyperlink"/>
          </w:rPr>
          <w:t xml:space="preserve">EAIST_JB-8765</w:t>
        </w:r>
      </w:hyperlink>
      <w:r>
        <w:t xml:space="preserve"> </w:t>
      </w:r>
      <w:r>
        <w:t xml:space="preserve">Реализовать уведомления пользователям при изменении позиций КПГЗ/СПГЗ, которые были запланированы в лотах”</w:t>
      </w:r>
      <w:r>
        <w:t xml:space="preserve">) and scenarios (cases) that entail the need for customers to make changes to the lot specifications.</w:t>
      </w:r>
    </w:p>
    <w:p>
      <w:pPr>
        <w:pStyle w:val="BodyText"/>
      </w:pPr>
      <w:r>
        <w:rPr>
          <w:b/>
          <w:bCs/>
        </w:rPr>
        <w:t xml:space="preserve">Notes</w:t>
      </w:r>
    </w:p>
    <w:p>
      <w:pPr>
        <w:numPr>
          <w:ilvl w:val="0"/>
          <w:numId w:val="1001"/>
        </w:numPr>
      </w:pPr>
      <w:r>
        <w:t xml:space="preserve">The assignment to carry out of this task was issued at the</w:t>
      </w:r>
      <w:r>
        <w:t xml:space="preserve"> </w:t>
      </w:r>
      <w:r>
        <w:t xml:space="preserve">“</w:t>
      </w:r>
      <w:hyperlink r:id="rId22">
        <w:r>
          <w:rPr>
            <w:rStyle w:val="Hyperlink"/>
          </w:rPr>
          <w:t xml:space="preserve">Meet-145</w:t>
        </w:r>
      </w:hyperlink>
      <w:r>
        <w:t xml:space="preserve"> </w:t>
      </w:r>
      <w:r>
        <w:t xml:space="preserve">Обсуждение привязки СТЗ к нестандартизированным позициям СПГЗ и доработки ЕАИСТ с целью предоставления заказчикам возможности использования в определённых случаях позиций СПГЗ, которые стали неактуальными или были удалены с момента формирования лота и до момента публикации извещения (Расширение стандартизации и наследование КПГЗ)”</w:t>
      </w:r>
      <w:r>
        <w:t xml:space="preserve"> </w:t>
      </w:r>
      <w:r>
        <w:t xml:space="preserve">meeting.</w:t>
      </w:r>
    </w:p>
    <w:p>
      <w:pPr>
        <w:numPr>
          <w:ilvl w:val="0"/>
          <w:numId w:val="1001"/>
        </w:numPr>
      </w:pPr>
      <w:r>
        <w:t xml:space="preserve">This task is carrying out in the card</w:t>
      </w:r>
      <w:r>
        <w:t xml:space="preserve"> </w:t>
      </w:r>
      <w:r>
        <w:t xml:space="preserve">“</w:t>
      </w:r>
      <w:hyperlink r:id="rId23">
        <w:r>
          <w:rPr>
            <w:rStyle w:val="Hyperlink"/>
          </w:rPr>
          <w:t xml:space="preserve">DA-54</w:t>
        </w:r>
      </w:hyperlink>
      <w:r>
        <w:t xml:space="preserve"> </w:t>
      </w:r>
      <w:r>
        <w:t xml:space="preserve">Подготовить аналитику/статистику изменений КПГЗ/СПГЗ в 2025 году в разрезе оснований”</w:t>
      </w:r>
    </w:p>
    <w:p>
      <w:pPr>
        <w:numPr>
          <w:ilvl w:val="0"/>
          <w:numId w:val="1001"/>
        </w:numPr>
      </w:pPr>
      <w:r>
        <w:t xml:space="preserve">The results of this task will be used in the following tasks:</w:t>
      </w:r>
    </w:p>
    <w:p>
      <w:pPr>
        <w:numPr>
          <w:ilvl w:val="1"/>
          <w:numId w:val="1002"/>
        </w:numPr>
      </w:pPr>
      <w:hyperlink r:id="rId24">
        <w:r>
          <w:rPr>
            <w:rStyle w:val="Hyperlink"/>
          </w:rPr>
          <w:t xml:space="preserve">SGL-105</w:t>
        </w:r>
      </w:hyperlink>
      <w:r>
        <w:t xml:space="preserve"> </w:t>
      </w:r>
      <w:r>
        <w:t xml:space="preserve">Согласовать ФТ на Реализацию использования архивных КПГЗ и СПГЗ (запрос от ГРБС)</w:t>
      </w:r>
    </w:p>
    <w:p>
      <w:pPr>
        <w:numPr>
          <w:ilvl w:val="1"/>
          <w:numId w:val="1002"/>
        </w:numPr>
      </w:pPr>
      <w:hyperlink r:id="rId22">
        <w:r>
          <w:rPr>
            <w:rStyle w:val="Hyperlink"/>
          </w:rPr>
          <w:t xml:space="preserve">Meet-145</w:t>
        </w:r>
      </w:hyperlink>
      <w:r>
        <w:t xml:space="preserve"> </w:t>
      </w:r>
      <w:r>
        <w:t xml:space="preserve">Обсуждение привязки СТЗ к нестандартизированным позициям СПГЗ и доработки ЕАИСТ с целью предоставления заказчикам возможности использования в определённых случаях позиций СПГЗ, которые стали неактуальными или были удалены с момента формирования лота и до момента публикации извещения (Расширение стандартизации и наследование КПГЗ)</w:t>
      </w:r>
    </w:p>
    <w:bookmarkEnd w:id="25"/>
    <w:bookmarkStart w:id="26" w:name="key-stakeholders"/>
    <w:p>
      <w:pPr>
        <w:pStyle w:val="Heading3"/>
      </w:pPr>
      <w:r>
        <w:rPr>
          <w:b/>
          <w:bCs/>
        </w:rPr>
        <w:t xml:space="preserve">1.1.2. Key stakeholders</w:t>
      </w:r>
    </w:p>
    <w:p>
      <w:pPr>
        <w:pStyle w:val="FirstParagraph"/>
      </w:pPr>
      <w:r>
        <w:t xml:space="preserve">The key stakeholders of this task are following:</w:t>
      </w:r>
    </w:p>
    <w:p>
      <w:pPr>
        <w:numPr>
          <w:ilvl w:val="0"/>
          <w:numId w:val="1003"/>
        </w:numPr>
      </w:pPr>
      <w:r>
        <w:t xml:space="preserve">Department of Economic Policy and Development of the City of Moscow</w:t>
      </w:r>
    </w:p>
    <w:p>
      <w:pPr>
        <w:numPr>
          <w:ilvl w:val="0"/>
          <w:numId w:val="1003"/>
        </w:numPr>
      </w:pPr>
      <w:r>
        <w:t xml:space="preserve">Department of Competition Policy of the City of Moscow</w:t>
      </w:r>
    </w:p>
    <w:p>
      <w:pPr>
        <w:numPr>
          <w:ilvl w:val="0"/>
          <w:numId w:val="1003"/>
        </w:numPr>
      </w:pPr>
      <w:r>
        <w:t xml:space="preserve">Moscow city customers</w:t>
      </w:r>
    </w:p>
    <w:bookmarkEnd w:id="26"/>
    <w:bookmarkStart w:id="28" w:name="smart-questions"/>
    <w:p>
      <w:pPr>
        <w:pStyle w:val="Heading3"/>
      </w:pPr>
      <w:r>
        <w:rPr>
          <w:b/>
          <w:bCs/>
        </w:rPr>
        <w:t xml:space="preserve">1.1.3. SMART questions</w:t>
      </w:r>
    </w:p>
    <w:p>
      <w:pPr>
        <w:pStyle w:val="FirstParagraph"/>
      </w:pPr>
      <w:r>
        <w:t xml:space="preserve">The result of completing this task should be the answers to the following questions</w:t>
      </w:r>
    </w:p>
    <w:tbl>
      <w:tblPr>
        <w:tblStyle w:val="Table"/>
        <w:tblW w:type="pct" w:w="5000"/>
        <w:tblLayout w:type="fixed"/>
        <w:tblLook w:firstRow="1" w:lastRow="0" w:firstColumn="0" w:lastColumn="0" w:noHBand="0" w:noVBand="0" w:val="0020"/>
      </w:tblPr>
      <w:tblGrid>
        <w:gridCol w:w="377"/>
        <w:gridCol w:w="1885"/>
        <w:gridCol w:w="5657"/>
      </w:tblGrid>
      <w:tr>
        <w:trPr>
          <w:tblHeader w:val="on"/>
        </w:trPr>
        <w:tc>
          <w:tcPr/>
          <w:p>
            <w:pPr>
              <w:pStyle w:val="Compact"/>
            </w:pPr>
            <w:r>
              <w:rPr>
                <w:b/>
                <w:bCs/>
              </w:rPr>
              <w:t xml:space="preserve">N</w:t>
            </w:r>
          </w:p>
        </w:tc>
        <w:tc>
          <w:tcPr/>
          <w:p>
            <w:pPr>
              <w:pStyle w:val="Compact"/>
            </w:pPr>
            <w:r>
              <w:rPr>
                <w:b/>
                <w:bCs/>
              </w:rPr>
              <w:t xml:space="preserve">Type</w:t>
            </w:r>
          </w:p>
        </w:tc>
        <w:tc>
          <w:tcPr/>
          <w:p>
            <w:pPr>
              <w:pStyle w:val="Compact"/>
            </w:pPr>
            <w:r>
              <w:rPr>
                <w:b/>
                <w:bCs/>
              </w:rPr>
              <w:t xml:space="preserve">Question</w:t>
            </w:r>
          </w:p>
        </w:tc>
      </w:tr>
      <w:tr>
        <w:tc>
          <w:tcPr/>
          <w:p>
            <w:pPr>
              <w:pStyle w:val="Compact"/>
            </w:pPr>
            <w:r>
              <w:t xml:space="preserve">1</w:t>
            </w:r>
          </w:p>
        </w:tc>
        <w:tc>
          <w:tcPr/>
          <w:p>
            <w:pPr>
              <w:pStyle w:val="Compact"/>
            </w:pPr>
            <w:r>
              <w:t xml:space="preserve">- Specific</w:t>
            </w:r>
            <w:r>
              <w:t xml:space="preserve"> </w:t>
            </w:r>
            <w:r>
              <w:t xml:space="preserve"> </w:t>
            </w:r>
            <w:r>
              <w:t xml:space="preserve">- Measurable</w:t>
            </w:r>
            <w:r>
              <w:t xml:space="preserve"> </w:t>
            </w:r>
            <w:r>
              <w:t xml:space="preserve"> </w:t>
            </w:r>
            <w:r>
              <w:t xml:space="preserve">- Relevant</w:t>
            </w:r>
            <w:r>
              <w:t xml:space="preserve"> </w:t>
            </w:r>
            <w:r>
              <w:t xml:space="preserve"> </w:t>
            </w:r>
            <w:r>
              <w:t xml:space="preserve">- Time-bound</w:t>
            </w:r>
            <w:r>
              <w:t xml:space="preserve"> </w:t>
            </w:r>
          </w:p>
        </w:tc>
        <w:tc>
          <w:tcPr/>
          <w:p>
            <w:pPr>
              <w:pStyle w:val="Compact"/>
            </w:pPr>
            <w:r>
              <w:t xml:space="preserve">How often did the SPGZ change in 2025 for each of the scenarios (cases) described in</w:t>
            </w:r>
            <w:r>
              <w:t xml:space="preserve"> </w:t>
            </w:r>
            <w:r>
              <w:t xml:space="preserve">“Матрица изменений”</w:t>
            </w:r>
            <w:r>
              <w:t xml:space="preserve"> </w:t>
            </w:r>
            <w:r>
              <w:t xml:space="preserve">file, prepared during the work on task</w:t>
            </w:r>
            <w:r>
              <w:t xml:space="preserve"> </w:t>
            </w:r>
            <w:r>
              <w:t xml:space="preserve">“</w:t>
            </w:r>
            <w:hyperlink r:id="rId27">
              <w:r>
                <w:rPr>
                  <w:rStyle w:val="Hyperlink"/>
                </w:rPr>
                <w:t xml:space="preserve">IS_Task-318</w:t>
              </w:r>
            </w:hyperlink>
            <w:r>
              <w:t xml:space="preserve"> </w:t>
            </w:r>
            <w:r>
              <w:t xml:space="preserve">Сформировать таблицу изменений СПГЗ, после которых требуется актуализация лота”</w:t>
            </w:r>
            <w:r>
              <w:t xml:space="preserve">.</w:t>
            </w:r>
          </w:p>
        </w:tc>
      </w:tr>
      <w:tr>
        <w:tc>
          <w:tcPr/>
          <w:p>
            <w:pPr>
              <w:pStyle w:val="Compact"/>
            </w:pPr>
            <w:r>
              <w:t xml:space="preserve">2</w:t>
            </w:r>
          </w:p>
        </w:tc>
        <w:tc>
          <w:tcPr/>
          <w:p>
            <w:pPr>
              <w:pStyle w:val="Compact"/>
            </w:pPr>
            <w:r>
              <w:t xml:space="preserve">…</w:t>
            </w:r>
          </w:p>
        </w:tc>
        <w:tc>
          <w:tcPr/>
          <w:p>
            <w:pPr>
              <w:pStyle w:val="Compact"/>
            </w:pPr>
            <w:r>
              <w:t xml:space="preserve">…</w:t>
            </w:r>
          </w:p>
        </w:tc>
      </w:tr>
    </w:tbl>
    <w:bookmarkEnd w:id="28"/>
    <w:bookmarkStart w:id="29" w:name="scope-of-work-sow"/>
    <w:p>
      <w:pPr>
        <w:pStyle w:val="Heading3"/>
      </w:pPr>
      <w:r>
        <w:rPr>
          <w:b/>
          <w:bCs/>
        </w:rPr>
        <w:t xml:space="preserve">1.1.4. Scope of work (SOW)</w:t>
      </w:r>
    </w:p>
    <w:tbl>
      <w:tblPr>
        <w:tblStyle w:val="Table"/>
        <w:tblW w:type="pct" w:w="5000"/>
        <w:tblLayout w:type="fixed"/>
        <w:tblLook w:firstRow="1" w:lastRow="0" w:firstColumn="0" w:lastColumn="0" w:noHBand="0" w:noVBand="0" w:val="0020"/>
      </w:tblPr>
      <w:tblGrid>
        <w:gridCol w:w="114"/>
        <w:gridCol w:w="1262"/>
        <w:gridCol w:w="459"/>
        <w:gridCol w:w="1377"/>
        <w:gridCol w:w="1377"/>
        <w:gridCol w:w="3328"/>
      </w:tblGrid>
      <w:tr>
        <w:trPr>
          <w:tblHeader w:val="on"/>
        </w:trPr>
        <w:tc>
          <w:tcPr/>
          <w:p>
            <w:pPr>
              <w:pStyle w:val="Compact"/>
            </w:pPr>
            <w:r>
              <w:t xml:space="preserve">N</w:t>
            </w:r>
          </w:p>
        </w:tc>
        <w:tc>
          <w:tcPr/>
          <w:p>
            <w:pPr>
              <w:pStyle w:val="Compact"/>
            </w:pPr>
            <w:r>
              <w:t xml:space="preserve">Deliverables</w:t>
            </w:r>
          </w:p>
        </w:tc>
        <w:tc>
          <w:tcPr/>
          <w:p>
            <w:pPr>
              <w:pStyle w:val="Compact"/>
            </w:pPr>
            <w:r>
              <w:t xml:space="preserve">Timeline</w:t>
            </w:r>
          </w:p>
        </w:tc>
        <w:tc>
          <w:tcPr/>
          <w:p>
            <w:pPr>
              <w:pStyle w:val="Compact"/>
            </w:pPr>
            <w:r>
              <w:t xml:space="preserve">Milestones</w:t>
            </w:r>
          </w:p>
        </w:tc>
        <w:tc>
          <w:tcPr/>
          <w:p>
            <w:pPr>
              <w:pStyle w:val="Compact"/>
            </w:pPr>
            <w:r>
              <w:t xml:space="preserve">Results</w:t>
            </w:r>
          </w:p>
        </w:tc>
        <w:tc>
          <w:tcPr/>
          <w:p>
            <w:pPr>
              <w:pStyle w:val="Compact"/>
            </w:pPr>
            <w:r>
              <w:t xml:space="preserve">What SMART questions will be answered</w:t>
            </w:r>
          </w:p>
        </w:tc>
      </w:tr>
      <w:tr>
        <w:tc>
          <w:tcPr/>
          <w:p>
            <w:pPr>
              <w:pStyle w:val="Compact"/>
            </w:pPr>
            <w:r>
              <w:t xml:space="preserve">1</w:t>
            </w:r>
          </w:p>
        </w:tc>
        <w:tc>
          <w:tcPr/>
          <w:p>
            <w:pPr>
              <w:pStyle w:val="Compact"/>
            </w:pPr>
            <w:r>
              <w:t xml:space="preserve">Dataset with information about changes SPGZ in 2025 from Catalog database</w:t>
            </w:r>
          </w:p>
        </w:tc>
        <w:tc>
          <w:tcPr/>
          <w:p>
            <w:pPr>
              <w:pStyle w:val="Compact"/>
            </w:pPr>
            <w:r>
              <w:t xml:space="preserve">18.12.2025</w:t>
            </w:r>
          </w:p>
        </w:tc>
        <w:tc>
          <w:tcPr/>
          <w:p>
            <w:pPr>
              <w:pStyle w:val="Compact"/>
            </w:pPr>
            <w:r>
              <w:t xml:space="preserve">Completion of extracting data from Catalog database</w:t>
            </w:r>
          </w:p>
        </w:tc>
        <w:tc>
          <w:tcPr/>
          <w:p>
            <w:pPr>
              <w:pStyle w:val="Compact"/>
            </w:pPr>
            <w:r>
              <w:t xml:space="preserve">Dataset with information about changes SPGZ in 2025 from Catalog database</w:t>
            </w:r>
          </w:p>
        </w:tc>
        <w:tc>
          <w:tcPr/>
          <w:p>
            <w:pPr>
              <w:pStyle w:val="Compact"/>
            </w:pPr>
            <w:r>
              <w:t xml:space="preserve">-</w:t>
            </w:r>
          </w:p>
        </w:tc>
      </w:tr>
      <w:tr>
        <w:tc>
          <w:tcPr/>
          <w:p>
            <w:pPr>
              <w:pStyle w:val="Compact"/>
            </w:pPr>
            <w:r>
              <w:t xml:space="preserve">2</w:t>
            </w:r>
          </w:p>
        </w:tc>
        <w:tc>
          <w:tcPr/>
          <w:p>
            <w:pPr>
              <w:pStyle w:val="Compact"/>
            </w:pPr>
            <w:r>
              <w:t xml:space="preserve">Clean dataset</w:t>
            </w:r>
          </w:p>
        </w:tc>
        <w:tc>
          <w:tcPr/>
          <w:p>
            <w:pPr>
              <w:pStyle w:val="Compact"/>
            </w:pPr>
            <w:r>
              <w:t xml:space="preserve">19.12.2025</w:t>
            </w:r>
          </w:p>
        </w:tc>
        <w:tc>
          <w:tcPr/>
          <w:p>
            <w:pPr>
              <w:pStyle w:val="Compact"/>
            </w:pPr>
            <w:r>
              <w:t xml:space="preserve">Dataset is clean and usable</w:t>
            </w:r>
          </w:p>
        </w:tc>
        <w:tc>
          <w:tcPr/>
          <w:p>
            <w:pPr>
              <w:pStyle w:val="Compact"/>
            </w:pPr>
            <w:r>
              <w:t xml:space="preserve">-</w:t>
            </w:r>
          </w:p>
        </w:tc>
        <w:tc>
          <w:tcPr/>
          <w:p>
            <w:pPr>
              <w:pStyle w:val="Compact"/>
            </w:pPr>
          </w:p>
        </w:tc>
      </w:tr>
      <w:tr>
        <w:tc>
          <w:tcPr/>
          <w:p>
            <w:pPr>
              <w:pStyle w:val="Compact"/>
            </w:pPr>
            <w:r>
              <w:t xml:space="preserve">3</w:t>
            </w:r>
          </w:p>
        </w:tc>
        <w:tc>
          <w:tcPr/>
          <w:p>
            <w:pPr>
              <w:pStyle w:val="Compact"/>
            </w:pPr>
            <w:r>
              <w:t xml:space="preserve">Exploratory data analysis (EDA)</w:t>
            </w:r>
          </w:p>
        </w:tc>
        <w:tc>
          <w:tcPr/>
          <w:p>
            <w:pPr>
              <w:pStyle w:val="Compact"/>
            </w:pPr>
            <w:r>
              <w:t xml:space="preserve">21.12.2025</w:t>
            </w:r>
          </w:p>
        </w:tc>
        <w:tc>
          <w:tcPr/>
          <w:p>
            <w:pPr>
              <w:pStyle w:val="Compact"/>
            </w:pPr>
            <w:r>
              <w:t xml:space="preserve">Completion of EDA - understanding of dataset is formed</w:t>
            </w:r>
          </w:p>
        </w:tc>
        <w:tc>
          <w:tcPr/>
          <w:p>
            <w:pPr>
              <w:pStyle w:val="Compact"/>
            </w:pPr>
            <w:r>
              <w:t xml:space="preserve">EDA highlights room for investigation. Questions were formulated based on the results of EDA.</w:t>
            </w:r>
          </w:p>
        </w:tc>
        <w:tc>
          <w:tcPr/>
          <w:p>
            <w:pPr>
              <w:pStyle w:val="Compact"/>
            </w:pPr>
            <w:r>
              <w:t xml:space="preserve">-</w:t>
            </w:r>
          </w:p>
        </w:tc>
      </w:tr>
      <w:tr>
        <w:tc>
          <w:tcPr/>
          <w:p>
            <w:pPr>
              <w:pStyle w:val="Compact"/>
            </w:pPr>
            <w:r>
              <w:t xml:space="preserve">4</w:t>
            </w:r>
          </w:p>
        </w:tc>
        <w:tc>
          <w:tcPr/>
          <w:p>
            <w:pPr>
              <w:pStyle w:val="Compact"/>
            </w:pPr>
            <w:r>
              <w:t xml:space="preserve">Engineered features in the form of new columns</w:t>
            </w:r>
          </w:p>
        </w:tc>
        <w:tc>
          <w:tcPr/>
          <w:p>
            <w:pPr>
              <w:pStyle w:val="Compact"/>
            </w:pPr>
            <w:r>
              <w:t xml:space="preserve">22.12.2025</w:t>
            </w:r>
          </w:p>
        </w:tc>
        <w:tc>
          <w:tcPr/>
          <w:p>
            <w:pPr>
              <w:pStyle w:val="Compact"/>
            </w:pPr>
            <w:r>
              <w:t xml:space="preserve">New columns engineered to provide more accessible information</w:t>
            </w:r>
          </w:p>
        </w:tc>
        <w:tc>
          <w:tcPr/>
          <w:p>
            <w:pPr>
              <w:pStyle w:val="Compact"/>
            </w:pPr>
          </w:p>
        </w:tc>
        <w:tc>
          <w:tcPr/>
          <w:p>
            <w:pPr>
              <w:pStyle w:val="Compact"/>
            </w:pPr>
          </w:p>
        </w:tc>
      </w:tr>
      <w:tr>
        <w:tc>
          <w:tcPr/>
          <w:p>
            <w:pPr>
              <w:pStyle w:val="Compact"/>
            </w:pPr>
            <w:r>
              <w:t xml:space="preserve">5</w:t>
            </w:r>
          </w:p>
        </w:tc>
        <w:tc>
          <w:tcPr/>
          <w:p>
            <w:pPr>
              <w:pStyle w:val="Compact"/>
            </w:pPr>
            <w:r>
              <w:t xml:space="preserve">Statistical insights</w:t>
            </w:r>
          </w:p>
        </w:tc>
        <w:tc>
          <w:tcPr/>
          <w:p>
            <w:pPr>
              <w:pStyle w:val="Compact"/>
            </w:pPr>
            <w:r>
              <w:t xml:space="preserve">24.12.2025</w:t>
            </w:r>
          </w:p>
        </w:tc>
        <w:tc>
          <w:tcPr/>
          <w:p>
            <w:pPr>
              <w:pStyle w:val="Compact"/>
            </w:pPr>
            <w:r>
              <w:t xml:space="preserve">Completion of statistical analysis</w:t>
            </w:r>
          </w:p>
        </w:tc>
        <w:tc>
          <w:tcPr/>
          <w:p>
            <w:pPr>
              <w:pStyle w:val="Compact"/>
            </w:pPr>
            <w:r>
              <w:t xml:space="preserve">Statistical analysis conducted</w:t>
            </w:r>
          </w:p>
        </w:tc>
        <w:tc>
          <w:tcPr/>
          <w:p>
            <w:pPr>
              <w:pStyle w:val="Compact"/>
            </w:pPr>
            <w:r>
              <w:t xml:space="preserve">How often did the SPGZ change in 2025 for each of the scenarios (cases) described in</w:t>
            </w:r>
            <w:r>
              <w:t xml:space="preserve"> </w:t>
            </w:r>
            <w:r>
              <w:t xml:space="preserve">“Матрица изменений”</w:t>
            </w:r>
            <w:r>
              <w:t xml:space="preserve"> </w:t>
            </w:r>
            <w:r>
              <w:t xml:space="preserve">file, prepared during the work on task</w:t>
            </w:r>
            <w:r>
              <w:t xml:space="preserve"> </w:t>
            </w:r>
            <w:r>
              <w:t xml:space="preserve">“</w:t>
            </w:r>
            <w:hyperlink r:id="rId27">
              <w:r>
                <w:rPr>
                  <w:rStyle w:val="Hyperlink"/>
                </w:rPr>
                <w:t xml:space="preserve">IS_Task-318</w:t>
              </w:r>
            </w:hyperlink>
            <w:r>
              <w:t xml:space="preserve"> </w:t>
            </w:r>
            <w:r>
              <w:t xml:space="preserve">Сформировать таблицу изменений СПГЗ, после которых требуется актуализация лота”</w:t>
            </w:r>
            <w:r>
              <w:t xml:space="preserve">.</w:t>
            </w:r>
          </w:p>
        </w:tc>
      </w:tr>
      <w:tr>
        <w:tc>
          <w:tcPr/>
          <w:p>
            <w:pPr>
              <w:pStyle w:val="Compact"/>
            </w:pPr>
            <w:r>
              <w:t xml:space="preserve">6</w:t>
            </w:r>
          </w:p>
        </w:tc>
        <w:tc>
          <w:tcPr/>
          <w:p>
            <w:pPr>
              <w:pStyle w:val="Compact"/>
            </w:pPr>
            <w:r>
              <w:t xml:space="preserve">Visual aids</w:t>
            </w:r>
          </w:p>
        </w:tc>
        <w:tc>
          <w:tcPr/>
          <w:p>
            <w:pPr>
              <w:pStyle w:val="Compact"/>
            </w:pPr>
            <w:r>
              <w:t xml:space="preserve">25.12.2025</w:t>
            </w:r>
          </w:p>
        </w:tc>
        <w:tc>
          <w:tcPr/>
          <w:p>
            <w:pPr>
              <w:pStyle w:val="Compact"/>
            </w:pPr>
            <w:r>
              <w:t xml:space="preserve">Completion of visualizations</w:t>
            </w:r>
          </w:p>
        </w:tc>
        <w:tc>
          <w:tcPr/>
          <w:p>
            <w:pPr>
              <w:pStyle w:val="Compact"/>
            </w:pPr>
            <w:r>
              <w:t xml:space="preserve">Visualizations created</w:t>
            </w:r>
          </w:p>
        </w:tc>
        <w:tc>
          <w:tcPr/>
          <w:p>
            <w:pPr>
              <w:pStyle w:val="Compact"/>
            </w:pPr>
            <w:r>
              <w:t xml:space="preserve">-</w:t>
            </w:r>
          </w:p>
        </w:tc>
      </w:tr>
      <w:tr>
        <w:tc>
          <w:tcPr/>
          <w:p>
            <w:pPr>
              <w:pStyle w:val="Compact"/>
            </w:pPr>
            <w:r>
              <w:t xml:space="preserve">7</w:t>
            </w:r>
          </w:p>
        </w:tc>
        <w:tc>
          <w:tcPr/>
          <w:p>
            <w:pPr>
              <w:pStyle w:val="Compact"/>
            </w:pPr>
            <w:r>
              <w:t xml:space="preserve">Final report</w:t>
            </w:r>
          </w:p>
        </w:tc>
        <w:tc>
          <w:tcPr/>
          <w:p>
            <w:pPr>
              <w:pStyle w:val="Compact"/>
            </w:pPr>
            <w:r>
              <w:t xml:space="preserve">27.12.2025</w:t>
            </w:r>
          </w:p>
        </w:tc>
        <w:tc>
          <w:tcPr/>
          <w:p>
            <w:pPr>
              <w:pStyle w:val="Compact"/>
            </w:pPr>
            <w:r>
              <w:t xml:space="preserve">Final report submission</w:t>
            </w:r>
          </w:p>
        </w:tc>
        <w:tc>
          <w:tcPr/>
          <w:p>
            <w:pPr>
              <w:pStyle w:val="Compact"/>
            </w:pPr>
            <w:r>
              <w:t xml:space="preserve">Final report completed</w:t>
            </w:r>
          </w:p>
        </w:tc>
        <w:tc>
          <w:tcPr/>
          <w:p>
            <w:pPr>
              <w:pStyle w:val="Compact"/>
            </w:pPr>
            <w:r>
              <w:t xml:space="preserve">-</w:t>
            </w:r>
          </w:p>
        </w:tc>
      </w:tr>
    </w:tbl>
    <w:bookmarkEnd w:id="29"/>
    <w:bookmarkEnd w:id="30"/>
    <w:bookmarkStart w:id="31" w:name="guiding-questions"/>
    <w:p>
      <w:pPr>
        <w:pStyle w:val="Heading2"/>
      </w:pPr>
      <w:r>
        <w:rPr>
          <w:b/>
          <w:bCs/>
        </w:rPr>
        <w:t xml:space="preserve">1.2 Guiding questions</w:t>
      </w:r>
    </w:p>
    <w:tbl>
      <w:tblPr>
        <w:tblStyle w:val="Table"/>
        <w:tblW w:type="pct" w:w="5000"/>
        <w:tblLayout w:type="fixed"/>
        <w:tblLook w:firstRow="1" w:lastRow="0" w:firstColumn="0" w:lastColumn="0" w:noHBand="0" w:noVBand="0" w:val="0020"/>
      </w:tblPr>
      <w:tblGrid>
        <w:gridCol w:w="330"/>
        <w:gridCol w:w="3630"/>
        <w:gridCol w:w="3960"/>
      </w:tblGrid>
      <w:tr>
        <w:trPr>
          <w:tblHeader w:val="on"/>
        </w:trPr>
        <w:tc>
          <w:tcPr/>
          <w:p>
            <w:pPr>
              <w:pStyle w:val="Compact"/>
            </w:pPr>
            <w:r>
              <w:t xml:space="preserve">N</w:t>
            </w:r>
          </w:p>
        </w:tc>
        <w:tc>
          <w:tcPr/>
          <w:p>
            <w:pPr>
              <w:pStyle w:val="Compact"/>
            </w:pPr>
            <w:r>
              <w:t xml:space="preserve">Question</w:t>
            </w:r>
          </w:p>
        </w:tc>
        <w:tc>
          <w:tcPr/>
          <w:p>
            <w:pPr>
              <w:pStyle w:val="Compact"/>
            </w:pPr>
            <w:r>
              <w:t xml:space="preserve">Answer</w:t>
            </w:r>
          </w:p>
        </w:tc>
      </w:tr>
      <w:tr>
        <w:tc>
          <w:tcPr/>
          <w:p>
            <w:pPr>
              <w:pStyle w:val="Compact"/>
            </w:pPr>
            <w:r>
              <w:t xml:space="preserve">1</w:t>
            </w:r>
          </w:p>
        </w:tc>
        <w:tc>
          <w:tcPr/>
          <w:p>
            <w:pPr>
              <w:pStyle w:val="Compact"/>
            </w:pPr>
            <w:r>
              <w:t xml:space="preserve">What problem need to be solved using the result of this task</w:t>
            </w:r>
          </w:p>
        </w:tc>
        <w:tc>
          <w:tcPr/>
          <w:p>
            <w:pPr>
              <w:pStyle w:val="Compact"/>
            </w:pPr>
            <w:r>
              <w:t xml:space="preserve">The problem that needs to be solved is that customers need to make changes in they lots if the SPGZ positions used in those lot’s specifications are changed or deleted</w:t>
            </w:r>
          </w:p>
        </w:tc>
      </w:tr>
      <w:tr>
        <w:tc>
          <w:tcPr/>
          <w:p>
            <w:pPr>
              <w:pStyle w:val="Compact"/>
            </w:pPr>
            <w:r>
              <w:t xml:space="preserve">2</w:t>
            </w:r>
          </w:p>
        </w:tc>
        <w:tc>
          <w:tcPr/>
          <w:p>
            <w:pPr>
              <w:pStyle w:val="Compact"/>
            </w:pPr>
            <w:r>
              <w:t xml:space="preserve">How can the insights (results) of this task drive business decisions</w:t>
            </w:r>
          </w:p>
        </w:tc>
        <w:tc>
          <w:tcPr/>
          <w:p>
            <w:pPr>
              <w:pStyle w:val="Compact"/>
            </w:pPr>
            <w:r>
              <w:t xml:space="preserve">This analysis insights will be used to determine necessary EAIST upgrades and their priorities.</w:t>
            </w:r>
          </w:p>
        </w:tc>
      </w:tr>
    </w:tbl>
    <w:p>
      <w:pPr>
        <w:pStyle w:val="BodyText"/>
      </w:pPr>
      <w:r>
        <w:t xml:space="preserve"> </w:t>
      </w:r>
      <w:r>
        <w:t xml:space="preserve"> </w:t>
      </w:r>
    </w:p>
    <w:bookmarkEnd w:id="31"/>
    <w:bookmarkEnd w:id="32"/>
    <w:bookmarkStart w:id="41" w:name="data-preparation"/>
    <w:p>
      <w:pPr>
        <w:pStyle w:val="Heading1"/>
      </w:pPr>
      <w:r>
        <w:rPr>
          <w:b/>
          <w:bCs/>
        </w:rPr>
        <w:t xml:space="preserve">2. Data preparation</w:t>
      </w:r>
    </w:p>
    <w:bookmarkStart w:id="40" w:name="key-tasks-and-delivirables"/>
    <w:p>
      <w:pPr>
        <w:pStyle w:val="Heading2"/>
      </w:pPr>
      <w:r>
        <w:rPr>
          <w:b/>
          <w:bCs/>
        </w:rPr>
        <w:t xml:space="preserve">2.1. Key tasks and delivirables</w:t>
      </w:r>
    </w:p>
    <w:bookmarkStart w:id="33" w:name="collecting-the-necessary-data"/>
    <w:p>
      <w:pPr>
        <w:pStyle w:val="Heading3"/>
      </w:pPr>
      <w:r>
        <w:rPr>
          <w:b/>
          <w:bCs/>
        </w:rPr>
        <w:t xml:space="preserve">2.1.1. Collecting the necessary data</w:t>
      </w:r>
    </w:p>
    <w:p>
      <w:pPr>
        <w:pStyle w:val="FirstParagraph"/>
      </w:pPr>
      <w:r>
        <w:t xml:space="preserve">Data was collected from several Catalog database tables using the SQL query</w:t>
      </w:r>
      <w:r>
        <w:t xml:space="preserve"> </w:t>
      </w:r>
      <w:r>
        <w:t xml:space="preserve">“spgz_kpgz_relations_packages.sql”</w:t>
      </w:r>
      <w:r>
        <w:t xml:space="preserve">.</w:t>
      </w:r>
    </w:p>
    <w:bookmarkEnd w:id="33"/>
    <w:bookmarkStart w:id="35" w:name="downloading-and-storing-data"/>
    <w:p>
      <w:pPr>
        <w:pStyle w:val="Heading3"/>
      </w:pPr>
      <w:r>
        <w:rPr>
          <w:b/>
          <w:bCs/>
        </w:rPr>
        <w:t xml:space="preserve">2.1.2. Downloading and storing data</w:t>
      </w:r>
    </w:p>
    <w:p>
      <w:pPr>
        <w:pStyle w:val="FirstParagraph"/>
      </w:pPr>
      <w:r>
        <w:t xml:space="preserve">The data was downloaded and stored at the enterprise cloud and available is at this</w:t>
      </w:r>
      <w:r>
        <w:t xml:space="preserve"> </w:t>
      </w:r>
      <w:hyperlink r:id="rId34">
        <w:r>
          <w:rPr>
            <w:rStyle w:val="Hyperlink"/>
          </w:rPr>
          <w:t xml:space="preserve">link</w:t>
        </w:r>
      </w:hyperlink>
    </w:p>
    <w:p>
      <w:pPr>
        <w:pStyle w:val="SourceCode"/>
      </w:pPr>
      <w:r>
        <w:rPr>
          <w:rStyle w:val="CommentTok"/>
        </w:rPr>
        <w:t xml:space="preserve"># df &lt;- read.csv("C:/Users/GudievZK/Nextcloud/Data analysis/DA-54/2025.12.18_spgz_kpgz_ktru_pack_rels_db_ktlg.csv", fileEncoding = "Windows-1251")</w:t>
      </w:r>
      <w:r>
        <w:br/>
      </w:r>
      <w:r>
        <w:rPr>
          <w:rStyle w:val="CommentTok"/>
        </w:rPr>
        <w:t xml:space="preserve"># df &lt;- read_excel("/Users/zelimkhan/Desktop/DA-54/2025.12.18_spgz_kpgz_ktru_pack_rels_db_ktlg.xlsx")</w:t>
      </w:r>
    </w:p>
    <w:bookmarkEnd w:id="35"/>
    <w:bookmarkStart w:id="36" w:name="data-organization"/>
    <w:p>
      <w:pPr>
        <w:pStyle w:val="Heading3"/>
      </w:pPr>
      <w:r>
        <w:rPr>
          <w:b/>
          <w:bCs/>
        </w:rPr>
        <w:t xml:space="preserve">2.1.3. Data organization</w:t>
      </w:r>
    </w:p>
    <w:p>
      <w:pPr>
        <w:pStyle w:val="FirstParagraph"/>
      </w:pPr>
      <w:r>
        <w:t xml:space="preserve">The data is organized as a table (in csv format) containing **** rows. The rows contain information about versions of SPGZ positions which were changed or deleted in 2025.</w:t>
      </w:r>
    </w:p>
    <w:bookmarkEnd w:id="36"/>
    <w:bookmarkStart w:id="39" w:name="data-credibility-determination"/>
    <w:p>
      <w:pPr>
        <w:pStyle w:val="Heading3"/>
      </w:pPr>
      <w:r>
        <w:rPr>
          <w:b/>
          <w:bCs/>
        </w:rPr>
        <w:t xml:space="preserve">2.1.4. Data credibility determination</w:t>
      </w:r>
    </w:p>
    <w:p>
      <w:pPr>
        <w:pStyle w:val="FirstParagraph"/>
      </w:pPr>
      <w:r>
        <w:t xml:space="preserve">The ROCCC framework and Data integrity methodology were used to determine the data credibility</w:t>
      </w:r>
    </w:p>
    <w:bookmarkStart w:id="37" w:name="roccc-framework"/>
    <w:p>
      <w:pPr>
        <w:pStyle w:val="Heading4"/>
      </w:pPr>
      <w:r>
        <w:rPr>
          <w:b/>
          <w:bCs/>
        </w:rPr>
        <w:t xml:space="preserve">ROCCC framework</w:t>
      </w:r>
    </w:p>
    <w:tbl>
      <w:tblPr>
        <w:tblStyle w:val="Table"/>
        <w:tblW w:type="pct" w:w="5000"/>
        <w:tblLayout w:type="fixed"/>
        <w:tblLook w:firstRow="1" w:lastRow="0" w:firstColumn="0" w:lastColumn="0" w:noHBand="0" w:noVBand="0" w:val="0020"/>
      </w:tblPr>
      <w:tblGrid>
        <w:gridCol w:w="176"/>
        <w:gridCol w:w="1936"/>
        <w:gridCol w:w="1936"/>
        <w:gridCol w:w="1936"/>
        <w:gridCol w:w="1936"/>
      </w:tblGrid>
      <w:tr>
        <w:trPr>
          <w:tblHeader w:val="on"/>
        </w:trPr>
        <w:tc>
          <w:tcPr/>
          <w:p>
            <w:pPr>
              <w:pStyle w:val="Compact"/>
            </w:pPr>
            <w:r>
              <w:t xml:space="preserve">N</w:t>
            </w:r>
          </w:p>
        </w:tc>
        <w:tc>
          <w:tcPr/>
          <w:p>
            <w:pPr>
              <w:pStyle w:val="Compact"/>
            </w:pPr>
            <w:r>
              <w:t xml:space="preserve">ROCCC Dimension</w:t>
            </w:r>
          </w:p>
        </w:tc>
        <w:tc>
          <w:tcPr/>
          <w:p>
            <w:pPr>
              <w:pStyle w:val="Compact"/>
            </w:pPr>
            <w:r>
              <w:t xml:space="preserve">Description</w:t>
            </w:r>
          </w:p>
        </w:tc>
        <w:tc>
          <w:tcPr/>
          <w:p>
            <w:pPr>
              <w:pStyle w:val="Compact"/>
            </w:pPr>
            <w:r>
              <w:t xml:space="preserve">Conclusion</w:t>
            </w:r>
          </w:p>
        </w:tc>
        <w:tc>
          <w:tcPr/>
          <w:p>
            <w:pPr>
              <w:pStyle w:val="Compact"/>
            </w:pPr>
            <w:r>
              <w:t xml:space="preserve">Comments</w:t>
            </w:r>
          </w:p>
        </w:tc>
      </w:tr>
      <w:tr>
        <w:tc>
          <w:tcPr/>
          <w:p>
            <w:pPr>
              <w:pStyle w:val="Compact"/>
            </w:pPr>
            <w:r>
              <w:t xml:space="preserve">1</w:t>
            </w:r>
          </w:p>
        </w:tc>
        <w:tc>
          <w:tcPr/>
          <w:p>
            <w:pPr>
              <w:pStyle w:val="Compact"/>
            </w:pPr>
            <w:r>
              <w:t xml:space="preserve">Reliable</w:t>
            </w:r>
          </w:p>
        </w:tc>
        <w:tc>
          <w:tcPr/>
          <w:p>
            <w:pPr>
              <w:pStyle w:val="Compact"/>
            </w:pPr>
            <w:r>
              <w:t xml:space="preserve">Source is dependable and consistent.</w:t>
            </w:r>
          </w:p>
        </w:tc>
        <w:tc>
          <w:tcPr/>
          <w:p>
            <w:pPr>
              <w:pStyle w:val="Compact"/>
            </w:pPr>
            <w:r>
              <w:t xml:space="preserve">See to the conclusion below the table</w:t>
            </w:r>
          </w:p>
        </w:tc>
        <w:tc>
          <w:tcPr/>
          <w:p>
            <w:pPr>
              <w:pStyle w:val="Compact"/>
            </w:pPr>
            <w:r>
              <w:t xml:space="preserve">It depends on ROCCC dimensions listed below</w:t>
            </w:r>
          </w:p>
        </w:tc>
      </w:tr>
      <w:tr>
        <w:tc>
          <w:tcPr/>
          <w:p>
            <w:pPr>
              <w:pStyle w:val="Compact"/>
            </w:pPr>
            <w:r>
              <w:t xml:space="preserve">2</w:t>
            </w:r>
          </w:p>
        </w:tc>
        <w:tc>
          <w:tcPr/>
          <w:p>
            <w:pPr>
              <w:pStyle w:val="Compact"/>
            </w:pPr>
            <w:r>
              <w:t xml:space="preserve">Original</w:t>
            </w:r>
          </w:p>
        </w:tc>
        <w:tc>
          <w:tcPr/>
          <w:p>
            <w:pPr>
              <w:pStyle w:val="Compact"/>
            </w:pPr>
            <w:r>
              <w:t xml:space="preserve">The data obtained from the original source (or if the data is not obtained from the original source, it is possible compere and verify the data with the original source)</w:t>
            </w:r>
          </w:p>
        </w:tc>
        <w:tc>
          <w:tcPr/>
          <w:p>
            <w:pPr>
              <w:pStyle w:val="Compact"/>
            </w:pPr>
            <w:r>
              <w:t xml:space="preserve">The data obtained from the original source (Catalog database).</w:t>
            </w:r>
          </w:p>
        </w:tc>
        <w:tc>
          <w:tcPr/>
          <w:p>
            <w:pPr>
              <w:pStyle w:val="Compact"/>
            </w:pPr>
          </w:p>
        </w:tc>
      </w:tr>
      <w:tr>
        <w:tc>
          <w:tcPr/>
          <w:p>
            <w:pPr>
              <w:pStyle w:val="Compact"/>
            </w:pPr>
            <w:r>
              <w:t xml:space="preserve">3</w:t>
            </w:r>
          </w:p>
        </w:tc>
        <w:tc>
          <w:tcPr/>
          <w:p>
            <w:pPr>
              <w:pStyle w:val="Compact"/>
            </w:pPr>
            <w:r>
              <w:t xml:space="preserve">Comprehensive</w:t>
            </w:r>
          </w:p>
        </w:tc>
        <w:tc>
          <w:tcPr/>
          <w:p>
            <w:pPr>
              <w:pStyle w:val="Compact"/>
            </w:pPr>
            <w:r>
              <w:t xml:space="preserve">Covers all necessary cases and variables</w:t>
            </w:r>
          </w:p>
        </w:tc>
        <w:tc>
          <w:tcPr/>
          <w:p>
            <w:pPr>
              <w:pStyle w:val="Compact"/>
            </w:pPr>
            <w:r>
              <w:t xml:space="preserve">The data covers all necessary cases and variables</w:t>
            </w:r>
          </w:p>
        </w:tc>
        <w:tc>
          <w:tcPr/>
          <w:p>
            <w:pPr>
              <w:pStyle w:val="Compact"/>
            </w:pPr>
          </w:p>
        </w:tc>
      </w:tr>
      <w:tr>
        <w:tc>
          <w:tcPr/>
          <w:p>
            <w:pPr>
              <w:pStyle w:val="Compact"/>
            </w:pPr>
            <w:r>
              <w:t xml:space="preserve">4</w:t>
            </w:r>
          </w:p>
        </w:tc>
        <w:tc>
          <w:tcPr/>
          <w:p>
            <w:pPr>
              <w:pStyle w:val="Compact"/>
            </w:pPr>
            <w:r>
              <w:t xml:space="preserve">Current</w:t>
            </w:r>
          </w:p>
        </w:tc>
        <w:tc>
          <w:tcPr/>
          <w:p>
            <w:pPr>
              <w:pStyle w:val="Compact"/>
            </w:pPr>
            <w:r>
              <w:t xml:space="preserve">The data source aren’t out of date or irrelevant</w:t>
            </w:r>
          </w:p>
        </w:tc>
        <w:tc>
          <w:tcPr/>
          <w:p>
            <w:pPr>
              <w:pStyle w:val="Compact"/>
            </w:pPr>
            <w:r>
              <w:t xml:space="preserve">The data is current and contains the necessary information for 2025 year</w:t>
            </w:r>
          </w:p>
        </w:tc>
        <w:tc>
          <w:tcPr/>
          <w:p>
            <w:pPr>
              <w:pStyle w:val="Compact"/>
            </w:pPr>
          </w:p>
        </w:tc>
      </w:tr>
      <w:tr>
        <w:tc>
          <w:tcPr/>
          <w:p>
            <w:pPr>
              <w:pStyle w:val="Compact"/>
            </w:pPr>
            <w:r>
              <w:t xml:space="preserve">5</w:t>
            </w:r>
          </w:p>
        </w:tc>
        <w:tc>
          <w:tcPr/>
          <w:p>
            <w:pPr>
              <w:pStyle w:val="Compact"/>
            </w:pPr>
            <w:r>
              <w:t xml:space="preserve">Cited</w:t>
            </w:r>
          </w:p>
        </w:tc>
        <w:tc>
          <w:tcPr/>
          <w:p>
            <w:pPr>
              <w:pStyle w:val="Compact"/>
            </w:pPr>
            <w:r>
              <w:t xml:space="preserve">The data source is cited and vetted</w:t>
            </w:r>
          </w:p>
        </w:tc>
        <w:tc>
          <w:tcPr/>
          <w:p>
            <w:pPr>
              <w:pStyle w:val="Compact"/>
            </w:pPr>
            <w:r>
              <w:t xml:space="preserve">The data source is cited and veted</w:t>
            </w:r>
          </w:p>
        </w:tc>
        <w:tc>
          <w:tcPr/>
          <w:p>
            <w:pPr>
              <w:pStyle w:val="Compact"/>
            </w:pPr>
          </w:p>
        </w:tc>
      </w:tr>
    </w:tbl>
    <w:p>
      <w:pPr>
        <w:pStyle w:val="BodyText"/>
      </w:pPr>
      <w:r>
        <w:rPr>
          <w:b/>
          <w:bCs/>
        </w:rPr>
        <w:t xml:space="preserve">Conclusion on reliability of the data source based on the on ROCCC framework: The data source is reliable.</w:t>
      </w:r>
    </w:p>
    <w:bookmarkEnd w:id="37"/>
    <w:bookmarkStart w:id="38" w:name="data-integrity"/>
    <w:p>
      <w:pPr>
        <w:pStyle w:val="Heading4"/>
      </w:pPr>
      <w:r>
        <w:rPr>
          <w:b/>
          <w:bCs/>
        </w:rPr>
        <w:t xml:space="preserve">Data integrity</w:t>
      </w:r>
    </w:p>
    <w:tbl>
      <w:tblPr>
        <w:tblStyle w:val="Table"/>
        <w:tblW w:type="pct" w:w="5000"/>
        <w:tblLayout w:type="fixed"/>
        <w:tblLook w:firstRow="1" w:lastRow="0" w:firstColumn="0" w:lastColumn="0" w:noHBand="0" w:noVBand="0" w:val="0020"/>
      </w:tblPr>
      <w:tblGrid>
        <w:gridCol w:w="176"/>
        <w:gridCol w:w="1936"/>
        <w:gridCol w:w="1936"/>
        <w:gridCol w:w="1936"/>
        <w:gridCol w:w="1936"/>
      </w:tblGrid>
      <w:tr>
        <w:trPr>
          <w:tblHeader w:val="on"/>
        </w:trPr>
        <w:tc>
          <w:tcPr/>
          <w:p>
            <w:pPr>
              <w:pStyle w:val="Compact"/>
            </w:pPr>
            <w:r>
              <w:t xml:space="preserve">N</w:t>
            </w:r>
          </w:p>
        </w:tc>
        <w:tc>
          <w:tcPr/>
          <w:p>
            <w:pPr>
              <w:pStyle w:val="Compact"/>
            </w:pPr>
            <w:r>
              <w:t xml:space="preserve">Data integrity dimension</w:t>
            </w:r>
          </w:p>
        </w:tc>
        <w:tc>
          <w:tcPr/>
          <w:p>
            <w:pPr>
              <w:pStyle w:val="Compact"/>
            </w:pPr>
            <w:r>
              <w:t xml:space="preserve">Description</w:t>
            </w:r>
          </w:p>
        </w:tc>
        <w:tc>
          <w:tcPr/>
          <w:p>
            <w:pPr>
              <w:pStyle w:val="Compact"/>
            </w:pPr>
            <w:r>
              <w:t xml:space="preserve">Conclusion</w:t>
            </w:r>
          </w:p>
        </w:tc>
        <w:tc>
          <w:tcPr/>
          <w:p>
            <w:pPr>
              <w:pStyle w:val="Compact"/>
            </w:pPr>
            <w:r>
              <w:t xml:space="preserve">Comments</w:t>
            </w:r>
          </w:p>
        </w:tc>
      </w:tr>
      <w:tr>
        <w:tc>
          <w:tcPr/>
          <w:p>
            <w:pPr>
              <w:pStyle w:val="Compact"/>
            </w:pPr>
            <w:r>
              <w:t xml:space="preserve">1</w:t>
            </w:r>
          </w:p>
        </w:tc>
        <w:tc>
          <w:tcPr/>
          <w:p>
            <w:pPr>
              <w:pStyle w:val="Compact"/>
            </w:pPr>
            <w:r>
              <w:t xml:space="preserve">Accuracy</w:t>
            </w:r>
          </w:p>
        </w:tc>
        <w:tc>
          <w:tcPr/>
          <w:p>
            <w:pPr>
              <w:pStyle w:val="Compact"/>
            </w:pPr>
            <w:r>
              <w:t xml:space="preserve">The degree to which the data conforms to the actual entity being measured or described</w:t>
            </w:r>
          </w:p>
        </w:tc>
        <w:tc>
          <w:tcPr/>
          <w:p>
            <w:pPr>
              <w:pStyle w:val="Compact"/>
            </w:pPr>
            <w:r>
              <w:t xml:space="preserve">The data conforms actual changes in the ZPGZ in 2025</w:t>
            </w:r>
          </w:p>
        </w:tc>
        <w:tc>
          <w:tcPr/>
          <w:p>
            <w:pPr>
              <w:pStyle w:val="Compact"/>
            </w:pPr>
          </w:p>
        </w:tc>
      </w:tr>
      <w:tr>
        <w:tc>
          <w:tcPr/>
          <w:p>
            <w:pPr>
              <w:pStyle w:val="Compact"/>
            </w:pPr>
            <w:r>
              <w:t xml:space="preserve">2</w:t>
            </w:r>
          </w:p>
        </w:tc>
        <w:tc>
          <w:tcPr/>
          <w:p>
            <w:pPr>
              <w:pStyle w:val="Compact"/>
            </w:pPr>
            <w:r>
              <w:t xml:space="preserve">Completeness</w:t>
            </w:r>
          </w:p>
        </w:tc>
        <w:tc>
          <w:tcPr/>
          <w:p>
            <w:pPr>
              <w:pStyle w:val="Compact"/>
            </w:pPr>
            <w:r>
              <w:t xml:space="preserve">Data completeness is a dimension of data quality that measures whether all necessary or required data is present and available for dataset to fulfill to intended purpose.</w:t>
            </w:r>
          </w:p>
        </w:tc>
        <w:tc>
          <w:tcPr/>
          <w:p>
            <w:pPr>
              <w:pStyle w:val="Compact"/>
            </w:pPr>
            <w:r>
              <w:t xml:space="preserve">The dataset contains all necessary cases and variables.</w:t>
            </w:r>
          </w:p>
        </w:tc>
        <w:tc>
          <w:tcPr/>
          <w:p>
            <w:pPr>
              <w:pStyle w:val="Compact"/>
            </w:pPr>
          </w:p>
        </w:tc>
      </w:tr>
      <w:tr>
        <w:tc>
          <w:tcPr/>
          <w:p>
            <w:pPr>
              <w:pStyle w:val="Compact"/>
            </w:pPr>
            <w:r>
              <w:t xml:space="preserve">3</w:t>
            </w:r>
          </w:p>
        </w:tc>
        <w:tc>
          <w:tcPr/>
          <w:p>
            <w:pPr>
              <w:pStyle w:val="Compact"/>
            </w:pPr>
            <w:r>
              <w:t xml:space="preserve">Consistency</w:t>
            </w:r>
          </w:p>
        </w:tc>
        <w:tc>
          <w:tcPr/>
          <w:p>
            <w:pPr>
              <w:pStyle w:val="Compact"/>
            </w:pPr>
            <w:r>
              <w:t xml:space="preserve">Data follows the same formats and rules.</w:t>
            </w:r>
          </w:p>
        </w:tc>
        <w:tc>
          <w:tcPr/>
          <w:p>
            <w:pPr>
              <w:pStyle w:val="Compact"/>
            </w:pPr>
            <w:r>
              <w:t xml:space="preserve">The date are consistency</w:t>
            </w:r>
          </w:p>
        </w:tc>
        <w:tc>
          <w:tcPr/>
          <w:p>
            <w:pPr>
              <w:pStyle w:val="Compact"/>
            </w:pPr>
          </w:p>
        </w:tc>
      </w:tr>
      <w:tr>
        <w:tc>
          <w:tcPr/>
          <w:p>
            <w:pPr>
              <w:pStyle w:val="Compact"/>
            </w:pPr>
            <w:r>
              <w:t xml:space="preserve">4</w:t>
            </w:r>
          </w:p>
        </w:tc>
        <w:tc>
          <w:tcPr/>
          <w:p>
            <w:pPr>
              <w:pStyle w:val="Compact"/>
            </w:pPr>
            <w:r>
              <w:t xml:space="preserve">Trustworthiness</w:t>
            </w:r>
          </w:p>
        </w:tc>
        <w:tc>
          <w:tcPr/>
          <w:p>
            <w:pPr>
              <w:pStyle w:val="Compact"/>
            </w:pPr>
            <w:r>
              <w:t xml:space="preserve">The trustworthiness refers to the degree to which information can be relied upon as accurate, credible and secure, allowing users confidently make decisions and conduct analysis based on it.</w:t>
            </w:r>
          </w:p>
        </w:tc>
        <w:tc>
          <w:tcPr/>
          <w:p>
            <w:pPr>
              <w:pStyle w:val="Compact"/>
            </w:pPr>
            <w:r>
              <w:t xml:space="preserve">The data is trustworthiness</w:t>
            </w:r>
          </w:p>
        </w:tc>
        <w:tc>
          <w:tcPr/>
          <w:p>
            <w:pPr>
              <w:pStyle w:val="Compact"/>
            </w:pPr>
          </w:p>
        </w:tc>
      </w:tr>
    </w:tbl>
    <w:p>
      <w:pPr>
        <w:pStyle w:val="BodyText"/>
      </w:pPr>
      <w:r>
        <w:t xml:space="preserve"> </w:t>
      </w:r>
      <w:r>
        <w:t xml:space="preserve"> </w:t>
      </w:r>
    </w:p>
    <w:bookmarkEnd w:id="38"/>
    <w:bookmarkEnd w:id="39"/>
    <w:bookmarkEnd w:id="40"/>
    <w:bookmarkEnd w:id="41"/>
    <w:bookmarkStart w:id="42" w:name="data-processing"/>
    <w:p>
      <w:pPr>
        <w:pStyle w:val="Heading1"/>
      </w:pPr>
      <w:r>
        <w:rPr>
          <w:b/>
          <w:bCs/>
        </w:rPr>
        <w:t xml:space="preserve">3. Data processing</w:t>
      </w:r>
    </w:p>
    <w:p>
      <w:pPr>
        <w:pStyle w:val="FirstParagraph"/>
      </w:pPr>
      <w:r>
        <w:t xml:space="preserve"> </w:t>
      </w:r>
      <w:r>
        <w:t xml:space="preserve"> </w:t>
      </w:r>
    </w:p>
    <w:bookmarkEnd w:id="42"/>
    <w:bookmarkStart w:id="43" w:name="data-analysis"/>
    <w:p>
      <w:pPr>
        <w:pStyle w:val="Heading1"/>
      </w:pPr>
      <w:r>
        <w:rPr>
          <w:b/>
          <w:bCs/>
        </w:rPr>
        <w:t xml:space="preserve">4. Data analysis</w:t>
      </w:r>
    </w:p>
    <w:p>
      <w:pPr>
        <w:pStyle w:val="FirstParagraph"/>
      </w:pPr>
      <w:r>
        <w:t xml:space="preserve"> </w:t>
      </w:r>
      <w:r>
        <w:t xml:space="preserve"> </w:t>
      </w:r>
    </w:p>
    <w:bookmarkEnd w:id="43"/>
    <w:bookmarkStart w:id="44" w:name="report"/>
    <w:p>
      <w:pPr>
        <w:pStyle w:val="Heading1"/>
      </w:pPr>
      <w:r>
        <w:rPr>
          <w:b/>
          <w:bCs/>
        </w:rPr>
        <w:t xml:space="preserve">5. Report</w:t>
      </w:r>
    </w:p>
    <w:p>
      <w:pPr>
        <w:pStyle w:val="FirstParagraph"/>
      </w:pPr>
      <w:r>
        <w:t xml:space="preserve"> </w:t>
      </w:r>
      <w:r>
        <w:t xml:space="preserve"> </w:t>
      </w:r>
    </w:p>
    <w:bookmarkEnd w:id="44"/>
    <w:bookmarkStart w:id="45" w:name="usage-result"/>
    <w:p>
      <w:pPr>
        <w:pStyle w:val="Heading1"/>
      </w:pPr>
      <w:r>
        <w:rPr>
          <w:b/>
          <w:bCs/>
        </w:rPr>
        <w:t xml:space="preserve">6. Usage result</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rive.ac-mos.ru/f/4038789" TargetMode="External" /><Relationship Type="http://schemas.openxmlformats.org/officeDocument/2006/relationships/hyperlink" Id="rId21" Target="https://pm.mos.ru/issue/EAIST_JB-8765" TargetMode="External" /><Relationship Type="http://schemas.openxmlformats.org/officeDocument/2006/relationships/hyperlink" Id="rId23" Target="https://youtrack.gbuac.moscow/issue/DA-54/Podgotovit-analitiku-statistiku-izmenenij-KPGZ-SPGZ-v-2025-godu-v-razreze-osnovanij" TargetMode="External" /><Relationship Type="http://schemas.openxmlformats.org/officeDocument/2006/relationships/hyperlink" Id="rId27" Target="https://youtrack.gbuac.moscow/issue/IS_Task-318/Sformirovat-tablicu-izmenenij-SPGZ-posle-kotoryh-trebuetsya-aktualizaciya-lota" TargetMode="External" /><Relationship Type="http://schemas.openxmlformats.org/officeDocument/2006/relationships/hyperlink" Id="rId22" Target="https://youtrack.gbuac.moscow/issue/Meet-145/Obsuzhdenie-privyazki-STZ-k-nestandartizirovannym-poziciyam-SPGZ-i-dorabotki-EAIST-s-celyu-predostavleniya-zakazchikam" TargetMode="External" /><Relationship Type="http://schemas.openxmlformats.org/officeDocument/2006/relationships/hyperlink" Id="rId24" Target="https://youtrack.gbuac.moscow/issue/SGL-105/Soglasovat-FT-na-Realizaciyu-ispolzovaniya-arhivnyh-KPGZ-i-SPGZ-zapros-ot-GRBS" TargetMode="External" /></Relationships>
</file>

<file path=word/_rels/footnotes.xml.rels><?xml version="1.0" encoding="UTF-8"?><Relationships xmlns="http://schemas.openxmlformats.org/package/2006/relationships"><Relationship Type="http://schemas.openxmlformats.org/officeDocument/2006/relationships/hyperlink" Id="rId34" Target="https://drive.ac-mos.ru/f/4038789" TargetMode="External" /><Relationship Type="http://schemas.openxmlformats.org/officeDocument/2006/relationships/hyperlink" Id="rId21" Target="https://pm.mos.ru/issue/EAIST_JB-8765" TargetMode="External" /><Relationship Type="http://schemas.openxmlformats.org/officeDocument/2006/relationships/hyperlink" Id="rId23" Target="https://youtrack.gbuac.moscow/issue/DA-54/Podgotovit-analitiku-statistiku-izmenenij-KPGZ-SPGZ-v-2025-godu-v-razreze-osnovanij" TargetMode="External" /><Relationship Type="http://schemas.openxmlformats.org/officeDocument/2006/relationships/hyperlink" Id="rId27" Target="https://youtrack.gbuac.moscow/issue/IS_Task-318/Sformirovat-tablicu-izmenenij-SPGZ-posle-kotoryh-trebuetsya-aktualizaciya-lota" TargetMode="External" /><Relationship Type="http://schemas.openxmlformats.org/officeDocument/2006/relationships/hyperlink" Id="rId22" Target="https://youtrack.gbuac.moscow/issue/Meet-145/Obsuzhdenie-privyazki-STZ-k-nestandartizirovannym-poziciyam-SPGZ-i-dorabotki-EAIST-s-celyu-predostavleniya-zakazchikam" TargetMode="External" /><Relationship Type="http://schemas.openxmlformats.org/officeDocument/2006/relationships/hyperlink" Id="rId24" Target="https://youtrack.gbuac.moscow/issue/SGL-105/Soglasovat-FT-na-Realizaciyu-ispolzovaniya-arhivnyh-KPGZ-i-SPGZ-zapros-ot-GRB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54. Analysis of changes to the SPGZ in 2025 in terms of grounds</dc:title>
  <dc:creator>Zelimkhan Gudiev</dc:creator>
  <cp:keywords/>
  <dcterms:created xsi:type="dcterms:W3CDTF">2025-12-20T12:36:25Z</dcterms:created>
  <dcterms:modified xsi:type="dcterms:W3CDTF">2025-12-20T12:36:25Z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2025-12-17</vt:lpwstr>
  </property>
  <property fmtid="{D5CDD505-2E9C-101B-9397-08002B2CF9AE}" pid="3" name="output">
    <vt:lpwstr/>
  </property>
</Properties>
</file>