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MARA / OFFF</w:t>
      </w:r>
    </w:p>
    <w:p>
      <w:pPr>
        <w:pStyle w:val="Title"/>
        <w:jc w:val="center"/>
      </w:pPr>
      <w:r>
        <w:t>ZAVRŠNI NEOVISNI FORENZIČKI DOSJE</w:t>
      </w:r>
    </w:p>
    <w:p>
      <w:pPr>
        <w:pStyle w:val="Subtitle"/>
        <w:jc w:val="center"/>
      </w:pPr>
      <w:r>
        <w:t>Labin · Koromačno · Raša · Ubaš | stanje provjere i dokaznog lanca 29. rujna 2026.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EAF1F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Body"/>
            </w:pPr>
            <w:r>
              <w:rPr>
                <w:b/>
                <w:color w:val="173C4D"/>
              </w:rPr>
              <w:t>Svrha dokumenta: neovisno preslagivanje cijelog dostupnog projekta, AI analiza, izvornog koda, SUO dokumentacije, prostorno-planskih akata, lokalnih izjava i aktualnih institucionalnih događaja u jedinstvenu dokaznu strukturu. Ovaj dokument ne presuđuje tko je kriv. On pokazuje što je dokazano, što je tvrdnja, što je indicija, što je hipoteza i što još treba pribaviti.</w:t>
            </w:r>
          </w:p>
        </w:tc>
      </w:tr>
    </w:tbl>
    <w:p/>
    <w:p>
      <w:pPr>
        <w:pStyle w:val="Heading2"/>
      </w:pPr>
      <w:r>
        <w:t>Dokumentarni korpus</w:t>
      </w:r>
    </w:p>
    <w:p>
      <w:pPr>
        <w:pStyle w:val="ListBullet"/>
      </w:pPr>
      <w:r>
        <w:t>7 korisnički dostavljenih Markdown/tekstualnih dokumenata, uključujući četiri AI analize, ALL-IN analizu, riziko-matricu i analizu tokova otpada.</w:t>
      </w:r>
    </w:p>
    <w:p>
      <w:pPr>
        <w:pStyle w:val="ListBullet"/>
      </w:pPr>
      <w:r>
        <w:t>1 izvorna SUO studija EKONERG I-03-1212, 801 stranica.</w:t>
      </w:r>
    </w:p>
    <w:p>
      <w:pPr>
        <w:pStyle w:val="ListBullet"/>
      </w:pPr>
      <w:r>
        <w:t>2 javna GitHub repozitorija, open-fiscal-forensics i dosje-koromacno.</w:t>
      </w:r>
    </w:p>
    <w:p>
      <w:pPr>
        <w:pStyle w:val="ListBullet"/>
      </w:pPr>
      <w:r>
        <w:t>1 dodatni korisnički dostavljeni tekstualni izvor: „KOROMAČNO – Park prirode ili teška industrija“, korišten kao zaseban strateško-povijesni izvor i nije automatski tretiran kao primarni dokaz.</w:t>
      </w:r>
    </w:p>
    <w:p>
      <w:pPr>
        <w:pStyle w:val="ListBullet"/>
      </w:pPr>
      <w:r>
        <w:t>1 dostavljeni prijateljev AI chat s prijedlogom neovisne stručne skupine.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EAF1F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Body"/>
            </w:pPr>
            <w:r>
              <w:rPr>
                <w:b/>
                <w:color w:val="173C4D"/>
              </w:rPr>
              <w:t>GLAVNA METODOLOŠKA ODLUKA: AI tekstovi nisu dokazni izvor sami po sebi. Primarni dokument, službeni zapisnik, izvorni kod ili neposredno provjerljiv javni zapis ima prednost pred AI interpretacijom.</w:t>
            </w:r>
          </w:p>
        </w:tc>
      </w:tr>
    </w:tbl>
    <w:p/>
    <w:p>
      <w:r>
        <w:br w:type="page"/>
      </w:r>
    </w:p>
    <w:p>
      <w:pPr>
        <w:pStyle w:val="Heading1"/>
      </w:pPr>
      <w:r>
        <w:t>1. IZVRŠNI SAŽETAK</w:t>
      </w:r>
    </w:p>
    <w:p>
      <w:pPr>
        <w:pStyle w:val="Body"/>
      </w:pPr>
      <w:r>
        <w:t>Nakon ponovnog pregleda cijelog dostupnog korpusa, projekt MARA/OFFF pokazuje tri odvojene vrijednosti. Prva je tehnička, jer daje lokalni alat za reproducibilnu obradu javnih podataka. Druga je dokumentarna, jer GitHub i dosje-koromacno čuvaju kronologiju, dokumente i radne matrice. Treća je istraživačka, jer pokušava povezati proračun, otpad, emisije i prostorne postupke u jedinstveni lanac.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EAF1F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Body"/>
            </w:pPr>
            <w:r/>
            <w:r>
              <w:rPr>
                <w:b/>
              </w:rPr>
              <w:t>NAJVAŽNIJI ZAKLJUČAK: Funkcionalni hardening OFFF-a je velikim dijelom zatvoren. Preostali posao je repository hygiene i dokumentacijska usklađenost, dok za Koromačno i Ubaš najveći otvoreni zadatak ostaje zatvaranje materijalnih tvrdnji primarnim izvorima.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tblHeader w:val="true"/>
          <w:cantSplit/>
        </w:trPr>
        <w:tc>
          <w:tcPr>
            <w:tcW w:type="dxa" w:w="158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/>
              </w:rPr>
              <w:t>Područje</w:t>
            </w:r>
          </w:p>
        </w:tc>
        <w:tc>
          <w:tcPr>
            <w:tcW w:type="dxa" w:w="432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/>
              </w:rPr>
              <w:t>Što je danas čvrsto</w:t>
            </w:r>
          </w:p>
        </w:tc>
        <w:tc>
          <w:tcPr>
            <w:tcW w:type="dxa" w:w="331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/>
              </w:rPr>
              <w:t>Što još nije dokazano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KOdeCO procedura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Holcim je 28.08.2026. odustao od tadašnjeg PUO zahtjeva, a postupak javne rasprave je obustavljen. [W1]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Da je razlog povlačenja bio prikrivanje, pritisak ili taktička manipulacija.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PPUO Raša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V. izmjene su zaseban prostorno-planski postupak. Javna rasprava o planu je zasebna procedura.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Da su izmjene donesene samo radi KOdeCO ili da će sigurno omogućiti novu verziju projekta.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QRA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SUO sadrži numeričke scenarije i zone 50.000/100.000 ppm.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Da sama QRA implicira stvarni događaj. Postoji i unutarnja tekstualna/tablearna nedosljednost koju treba razjasniti.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OFFF hash-chain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Aktualni transparency_reconciler.py implementira SHA-256 lanac i verify_chain.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Da svaki izvorni podatak time postaje istinit. Hash potvrđuje integritet kopije, ne istinitost sadržaja.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Benford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Aktualni forensic_core.py računa χ² iz opaženih frekvencija.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Da prolaz statističkog testa dokazuje urednost ili odsutnost manipulacije.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Git hygiene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.gitignore je uveden.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Da su već praćeni .pyc, signatures.db, my_risk_oibs.json i privremeni artefakti već uklonjeni iz javnog repozitorija.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19.013 t / 124 €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Tvrdnja postoji u više radnih dokumenata.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Nema dovoljnog primarnog carinskog/materijalnog lanca u ovom korpusu da bi tvrdnja bila zatvorena.</w:t>
            </w:r>
          </w:p>
        </w:tc>
      </w:tr>
    </w:tbl>
    <w:p/>
    <w:p>
      <w:pPr>
        <w:pStyle w:val="Heading1"/>
      </w:pPr>
      <w:r>
        <w:t>2. METODOLOGIJA: KAKO ČITATI OVAJ DOSJE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tblHeader w:val="true"/>
          <w:cantSplit/>
        </w:trPr>
        <w:tc>
          <w:tcPr>
            <w:tcW w:type="dxa" w:w="1656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Status</w:t>
            </w:r>
          </w:p>
        </w:tc>
        <w:tc>
          <w:tcPr>
            <w:tcW w:type="dxa" w:w="4032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Značenje</w:t>
            </w:r>
          </w:p>
        </w:tc>
        <w:tc>
          <w:tcPr>
            <w:tcW w:type="dxa" w:w="3528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Primjer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FAKT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Primarni izvor ili izravno provjerljiv zapis postoji.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Sadržaj službenog rješenja Ministarstva.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DOKUMENTIRANA TVRDNJA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Postoji dokument koji tvrdi nešto određeno, ali nije neovisno potvrđeno.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Navod o količini određenog toka otpada.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INDICIJA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Postoje elementi koji upućuju na pitanje, ali ne zaključuju ga.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Copyright treće tvrtke na endpointu.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HIPOTEZA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Objašnjenje koje može biti moguće, ali treba novi dokaz.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Preusmjeravanje regionalnih tokova otpada prema Koromačnom.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OTVORENO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Nema dovoljno dokaza za činjeničnu tvrdnju.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19.013 t talijanskog otpada za 124 €.</w:t>
            </w:r>
          </w:p>
        </w:tc>
      </w:tr>
    </w:tbl>
    <w:p/>
    <w:p>
      <w:pPr>
        <w:pStyle w:val="Body"/>
      </w:pPr>
      <w:r>
        <w:t>Pravilo za objavu: svaka rečenica koja govori o odgovornosti neke fizičke ili pravne osobe mora biti vezana uz konkretnu radnju, dokument, ovlast i vrijeme. AI interpretacija, medijski naslov ili korelacija nisu zamjena za dokaz.</w:t>
      </w:r>
    </w:p>
    <w:p>
      <w:pPr>
        <w:pStyle w:val="Heading1"/>
      </w:pPr>
      <w:r>
        <w:t>3. ANALIZA SVAKOG AI IZVORA ZASEBNO</w:t>
      </w:r>
    </w:p>
    <w:p>
      <w:pPr>
        <w:pStyle w:val="Body"/>
      </w:pPr>
      <w:r>
        <w:t>Ovdje AI modeli nisu rangirani. Svaki je promatran kao radni dokument koji je nešto dobro izvukao, ali je istodobno unio i pogreške ili preširoke zaključke.</w:t>
      </w:r>
    </w:p>
    <w:p>
      <w:pPr>
        <w:pStyle w:val="Heading2"/>
      </w:pPr>
      <w:r>
        <w:t>GEMINI</w:t>
      </w:r>
    </w:p>
    <w:p>
      <w:pPr>
        <w:pStyle w:val="Body"/>
      </w:pPr>
      <w:r>
        <w:t>Koristan dio: Najkorisniji doprinos je prepoznavanje tehničkih rupa u OFFF-u i potreba da se mock hash zamijeni pravim hash-chainom. Također je jasno izdvojio korekciju 6.000 m³ nasuprot 6.000 tona, 19.013 t kao otvorenu tvrdnju i problem statusa oštećenika.</w:t>
      </w:r>
    </w:p>
    <w:p>
      <w:pPr>
        <w:pStyle w:val="Body"/>
      </w:pPr>
      <w:r>
        <w:t>Korekcija: Preuzeo je pojedine tvrdnje kao potvrđene prije dovoljno primarnog provjeravanja. Njegov raniji opis offline arhitekture bio je jači od stvarne implementacije.</w:t>
      </w:r>
    </w:p>
    <w:p>
      <w:pPr>
        <w:pStyle w:val="Heading2"/>
      </w:pPr>
      <w:r>
        <w:t>KIMI</w:t>
      </w:r>
    </w:p>
    <w:p>
      <w:pPr>
        <w:pStyle w:val="Body"/>
      </w:pPr>
      <w:r>
        <w:t>Koristan dio: Vrlo praktičan compliance prikaz. Dobro je organizirao ScribeHow, ZPPI zahtjeve, zahtjeve za EWC, AMS i neovisno mjerenje.</w:t>
      </w:r>
    </w:p>
    <w:p>
      <w:pPr>
        <w:pStyle w:val="Body"/>
      </w:pPr>
      <w:r>
        <w:t>Korekcija: Previše je puta tretirao “immutable ledger” kao već izveden sustav. Pravno je preširoko opisivao učinak statusa oštećenika i Aarhusa.</w:t>
      </w:r>
    </w:p>
    <w:p>
      <w:pPr>
        <w:pStyle w:val="Heading2"/>
      </w:pPr>
      <w:r>
        <w:t>GROK</w:t>
      </w:r>
    </w:p>
    <w:p>
      <w:pPr>
        <w:pStyle w:val="Body"/>
      </w:pPr>
      <w:r>
        <w:t>Koristan dio: Najčitljivije je preveo tehničku arhitekturu građanima i jasno opisao delta alarm i Streamlit tijek.</w:t>
      </w:r>
    </w:p>
    <w:p>
      <w:pPr>
        <w:pStyle w:val="Body"/>
      </w:pPr>
      <w:r>
        <w:t>Korekcija: Prebrzo je iz copyrighta izvlačio zaključak o identičnom CityX backendu. Također je korelacije između financija i okoliša previše približio zaključku o nepravilnosti.</w:t>
      </w:r>
    </w:p>
    <w:p>
      <w:pPr>
        <w:pStyle w:val="Heading2"/>
      </w:pPr>
      <w:r>
        <w:t>DEEPSEEK</w:t>
      </w:r>
    </w:p>
    <w:p>
      <w:pPr>
        <w:pStyle w:val="Body"/>
      </w:pPr>
      <w:r>
        <w:t>Koristan dio: Jasan opis osnovnog rada alata i laka objašnjenja za građane.</w:t>
      </w:r>
    </w:p>
    <w:p>
      <w:pPr>
        <w:pStyle w:val="Body"/>
      </w:pPr>
      <w:r>
        <w:t>Korekcija: Ponavljao je 148, 19.013 t, 124 € i 36 m kao da je dokazni status jednak. Također je dao postotke učinkovitosti koji nemaju metodološku osnovu.</w:t>
      </w:r>
    </w:p>
    <w:p>
      <w:pPr>
        <w:pStyle w:val="Heading2"/>
      </w:pPr>
      <w:r>
        <w:t>PRETHODNI CHATGPT MATERIJALI</w:t>
      </w:r>
    </w:p>
    <w:p>
      <w:pPr>
        <w:pStyle w:val="Body"/>
      </w:pPr>
      <w:r>
        <w:t>Koristan dio: Doprinijeli su velikom 20-poglavnom compliance dokumentu i prepoznali potrebu da se simulacija odvoji od stvarne cenzure.</w:t>
      </w:r>
    </w:p>
    <w:p>
      <w:pPr>
        <w:pStyle w:val="Body"/>
      </w:pPr>
      <w:r>
        <w:t>Korekcija: U ranijim verzijama i sam sam prešao granicu dokazivog u nekoliko formulacija. Ovaj završni dokument to korigira.</w:t>
      </w:r>
    </w:p>
    <w:p>
      <w:pPr>
        <w:pStyle w:val="Heading2"/>
      </w:pPr>
      <w:r>
        <w:t>PRIJATELJEV AI CHAT</w:t>
      </w:r>
    </w:p>
    <w:p>
      <w:pPr>
        <w:pStyle w:val="Body"/>
      </w:pPr>
      <w:r>
        <w:t>Koristan dio: Najkorisniji novi prijedlog je neovisna stručna skupina sa sedam domena, vlastitim uzorkovanjem, neovisnim mjerenjima i javnim rezultatima.</w:t>
      </w:r>
    </w:p>
    <w:p>
      <w:pPr>
        <w:pStyle w:val="Body"/>
      </w:pPr>
      <w:r>
        <w:t>Korekcija: Broj članova nije zakonska činjenica. Model je organizacijski prijedlog, ne službeno tijelo.</w:t>
      </w:r>
    </w:p>
    <w:p>
      <w:pPr>
        <w:pStyle w:val="Heading1"/>
      </w:pPr>
      <w:r>
        <w:t>4. DODATAK: PRIJATELJEV CHAT I MODEL NEOVISNE STRUČNE SKUPINE</w:t>
      </w:r>
    </w:p>
    <w:p>
      <w:pPr>
        <w:pStyle w:val="Body"/>
      </w:pPr>
      <w:r>
        <w:t>Dostavljeni prijateljev chat predlaže odvojenu neovisnu stručnu skupinu za Koromačno. Predloženo je sedam područja: cementna tehnologija, kemijska karakterizacija otpada, mjerenje industrijskih emisija, kvaliteta zraka i atmosferska kemija, disperzijsko modeliranje, toksikologija i zdravstveni rizik, epidemiologija i javno zdravstvo. [F8]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EAF1F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Body"/>
            </w:pPr>
            <w:r>
              <w:rPr>
                <w:b/>
                <w:color w:val="173C4D"/>
              </w:rPr>
              <w:t>Neovisna skupina ima smisla samo ako dobije pristup primarnim podacima i mogućnost vlastitog uzorkovanja. Skupina koja samo čita podatke operatera stvara drugi ured za pregledavanje papira, ne neovisnu kontrolu.</w:t>
            </w:r>
          </w:p>
        </w:tc>
      </w:tr>
    </w:tbl>
    <w:p/>
    <w:p>
      <w:pPr>
        <w:pStyle w:val="Body"/>
      </w:pPr>
      <w:r>
        <w:t>Konkretne zadaće koje ovaj model može obuhvatiti: kontrola svake pošiljke otpada, neovisno uzorkovanje, kontrolno mjerenje emisija, višetočkasto mjerenje imisija, neovisni model disperzije, zdravstvena procjena na stvarnim mjerenjima i javni strojno čitljiv registar rezultata.</w:t>
      </w:r>
    </w:p>
    <w:p>
      <w:pPr>
        <w:pStyle w:val="Body"/>
      </w:pPr>
      <w:r>
        <w:t>Drugi model je građanski “Evidence Cell”, bez formalnog osnivanja tijela. Tri funkcije mogu se razdvojiti: čuvar izvornika, tehnički validator i dokumentacijski/pravni koordinator. Time građani mogu raditi neovisnu tehničku provjeru i kada službena skupina kasni.</w:t>
      </w:r>
    </w:p>
    <w:p>
      <w:pPr>
        <w:pStyle w:val="Heading1"/>
      </w:pPr>
      <w:r>
        <w:t>5. STVARNI TRENUTNI STANJЕ GITHUB PROJEKTA</w:t>
      </w:r>
    </w:p>
    <w:p>
      <w:pPr>
        <w:pStyle w:val="Body"/>
      </w:pPr>
      <w:r>
        <w:t>Provjereni su trenutni javno dostupni repozitoriji preko GitHub-a. Oba repozitorija su javna i imaju aktivnu main granu. Git povijest je dokaz razvojnih događaja, ali nije dokaz broja radnih sati.</w:t>
      </w:r>
    </w:p>
    <w:p>
      <w:pPr>
        <w:pStyle w:val="Body"/>
      </w:pPr>
      <w:r>
        <w:t>LIVE provjera je usmjerena na sadržaj aktualne main grane, a ne na jednu stariju commit-poruku. Za dokazni status kôda mjerodavan je sadržaj provjerenih datoteka.</w:t>
      </w:r>
    </w:p>
    <w:p>
      <w:pPr>
        <w:pStyle w:val="Body"/>
      </w:pPr>
      <w:r>
        <w:t>LIVE status napomena: u provjerenom GitHub snapshotu još su vidljivi generirani artefakti poput .pyc, signatures.db, my_risk_oibs.json i temp_dashboard_chart.png. .gitignore pravila postoje, ali sama pravila ne uklanjaju već praćene datoteke. Ovo je repository-hygiene pitanje, a ne dokaz funkcionalnog kvara jezgre.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tblHeader w:val="true"/>
          <w:cantSplit/>
        </w:trPr>
        <w:tc>
          <w:tcPr>
            <w:tcW w:type="dxa" w:w="288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/>
              </w:rPr>
              <w:t>Stvar u repozitoriju</w:t>
            </w:r>
          </w:p>
        </w:tc>
        <w:tc>
          <w:tcPr>
            <w:tcW w:type="dxa" w:w="6336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/>
              </w:rPr>
              <w:t>Nalaz nakon zadnjeg MVP polish passa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transparency_reconciler.py</w:t>
            </w:r>
          </w:p>
        </w:tc>
        <w:tc>
          <w:tcPr>
            <w:tcW w:type="dxa" w:w="63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Aktualni kôd sadrži stvarni SHA-256 hash-chain i verify_chain koji rekalkulira lanac.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app.py</w:t>
            </w:r>
          </w:p>
        </w:tc>
        <w:tc>
          <w:tcPr>
            <w:tcW w:type="dxa" w:w="63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Aktualni kôd računa SHA-256 nad uploadom, ima označenu simulaciju 15.000 € i prošireni manifest 2.0.0-Hardened.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forensic_core.py</w:t>
            </w:r>
          </w:p>
        </w:tc>
        <w:tc>
          <w:tcPr>
            <w:tcW w:type="dxa" w:w="63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Benford χ² je korigiran na frekvencije opaženih i očekivanih vrijednosti. Statistika ostaje screening alat.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ConsensusLedger.sol</w:t>
            </w:r>
          </w:p>
        </w:tc>
        <w:tc>
          <w:tcPr>
            <w:tcW w:type="dxa" w:w="63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Pametni ugovor je prisutan. Nema javno potvrđenog produkcijskog deploymenta samo iz koda.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p2p_network_mesh.py</w:t>
            </w:r>
          </w:p>
        </w:tc>
        <w:tc>
          <w:tcPr>
            <w:tcW w:type="dxa" w:w="63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P2P mehanizam koristi OFFF_HMAC_SECRET iz okruženja i ne pokreće se bez tajne.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requirements.txt</w:t>
            </w:r>
          </w:p>
        </w:tc>
        <w:tc>
          <w:tcPr>
            <w:tcW w:type="dxa" w:w="63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Prisutan je i sadrži runtime biblioteke glavne aplikacije.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Generirani artefakti</w:t>
            </w:r>
          </w:p>
        </w:tc>
        <w:tc>
          <w:tcPr>
            <w:tcW w:type="dxa" w:w="63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U snapshotu su još vidljivi .pyc, signatures.db, my_risk_oibs.json i privremena slika. Ovo je cleanup zadatak.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361-lanac.html</w:t>
            </w:r>
          </w:p>
        </w:tc>
        <w:tc>
          <w:tcPr>
            <w:tcW w:type="dxa" w:w="63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Ostaje povijesni/konceptualni sloj i ne miješa se s lokalnom dokaznom matricom Koromačna.</w:t>
            </w:r>
          </w:p>
        </w:tc>
      </w:tr>
    </w:tbl>
    <w:p/>
    <w:p>
      <w:pPr>
        <w:pStyle w:val="Heading1"/>
      </w:pPr>
      <w:r>
        <w:t>6. NEOVISNA TEHNIČKA DISekCIJA OFFF-A</w:t>
      </w:r>
    </w:p>
    <w:p>
      <w:pPr>
        <w:pStyle w:val="Heading2"/>
      </w:pPr>
      <w:r>
        <w:t>6.1 transparency_reconciler.py</w:t>
      </w:r>
    </w:p>
    <w:p>
      <w:pPr>
        <w:pStyle w:val="Body"/>
      </w:pPr>
      <w:r>
        <w:t>calculate_audit_delta(konto, expected, observed) pretvara očekivani i promatrani iznos u numeričke vrijednosti i vraća delta. To je korisna funkcija, ali sama po sebi ne zna je li “expected” iznos stvarno službeni. Zbog toga svaki expected mora imati izvorni dokument i provenance.</w:t>
      </w:r>
    </w:p>
    <w:p>
      <w:pPr>
        <w:pStyle w:val="Body"/>
      </w:pPr>
      <w:r>
        <w:t>Aktualna verzija transparency_reconciler.py sada sadrži stvarni SHA-256 lanac: payload se kanonizira, prethodni hash ulazi u izračun, a verify_chain ponovno računa i uspoređuje svaki blok. Stari mock_hash nalaz pripada prethodnoj verziji i ne opisuje aktualni kod.</w:t>
      </w:r>
    </w:p>
    <w:p>
      <w:pPr>
        <w:pStyle w:val="Body"/>
      </w:pPr>
      <w:r>
        <w:t>Aktualni kod više ne koristi hardkodirani BLOCKCHAIN_PRIVATE_KEY. Vjerodajnice su predviđene kroz environment varijable. Eventualni stvarni ključ koji je nekad bio javno objavljen morao bi se zasebno rotirati.</w:t>
      </w:r>
    </w:p>
    <w:p>
      <w:pPr>
        <w:pStyle w:val="Heading2"/>
      </w:pPr>
      <w:r>
        <w:t>6.2 app.py i simulacija cenzure</w:t>
      </w:r>
    </w:p>
    <w:p>
      <w:pPr>
        <w:pStyle w:val="Body"/>
      </w:pPr>
      <w:r>
        <w:t>app.py izračunava stvarni SHA-256 nad uploadanom datotekom. To je ispravan način vezivanja lokalne kopije uz hash. U alarmnom dijelu aplikacija stvara df_alarm kao kopiju podataka. Ako je checkbox aktivan, prvi red sa kontom 3233 ili 3237 smanjuje se za 15.000 €. Aplikacija zatim prikazuje VARIANCE DETECTED i DELTA 15.000 €.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EAF1F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Body"/>
            </w:pPr>
            <w:r>
              <w:rPr>
                <w:b/>
                <w:color w:val="173C4D"/>
              </w:rPr>
              <w:t>To je test alarma. Nije dokaz da je Grad Labin sakrio 15.000 €. U konačnoj javnoj verziji checkbox treba nositi oznaku “SIMULACIJA” na istom mjestu gdje se prikazuje alarm.</w:t>
            </w:r>
          </w:p>
        </w:tc>
      </w:tr>
    </w:tbl>
    <w:p/>
    <w:p>
      <w:pPr>
        <w:pStyle w:val="Body"/>
      </w:pPr>
      <w:r>
        <w:t>Još jedna bitna činjenica: hash koji se prikazuje u tom dijelu app.py jest SHA-256 trenutnog CSV zapisa df_mock. To nije isto što i verifikacija hash-lanca iz transparency_reconciler.py.</w:t>
      </w:r>
    </w:p>
    <w:p>
      <w:pPr>
        <w:pStyle w:val="Heading2"/>
      </w:pPr>
      <w:r>
        <w:t>6.3 forensic_core.py, Benford problem</w:t>
      </w:r>
    </w:p>
    <w:p>
      <w:pPr>
        <w:pStyle w:val="Body"/>
      </w:pPr>
      <w:r>
        <w:t>BenfordTest.run je u aktualnoj verziji prebačen na frekvencije opaženih i očekivanih znamenki. Time je uklonjen raniji problem skale χ². Rezultat ostaje statistički screening signal i ne dokazuje istinitost izvornog računovodstva.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EAF1F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Aktualni Benford status: prethodni 0.0134 bio je iz stare skale. Aktualni kod računa χ² iz opaženih frekvencija. Rezultat treba tumačiti kao statistički indikator, ne kao dokaz potpune odsutnosti manipulacije.</w:t>
            </w:r>
          </w:p>
        </w:tc>
      </w:tr>
    </w:tbl>
    <w:p/>
    <w:p>
      <w:pPr>
        <w:pStyle w:val="Body"/>
      </w:pPr>
      <w:r>
        <w:t>Druga granica je izbor uzorka. Kod zahtijeva najmanje 50 pozitivnih vrijednosti, ali Benford analiza može biti statistički nestabilna na malim uzorcima. Treba koristiti veće i smisleno homogene skupove podataka i izbjegavati miješanje različitih populacija transakcija.</w:t>
      </w:r>
    </w:p>
    <w:p>
      <w:pPr>
        <w:pStyle w:val="Body"/>
      </w:pPr>
      <w:r>
        <w:t>ShannonEntropyTest također nije dokaz manipulacije. Prag 3.0 je programska odluka, a rezultat ovisi o tekstualnom prikazu brojeva, decimalama i načinu normalizacije. Koristan je kao heuristika za dodatni pregled, ne kao presuda.</w:t>
      </w:r>
    </w:p>
    <w:p>
      <w:pPr>
        <w:pStyle w:val="Body"/>
      </w:pPr>
      <w:r>
        <w:t>DataNormalizer odbacuje vrijednosti manje ili jednake nuli. Za pojedine računovodstvene baze negativni iznosi i nule mogu biti legitimni storno ili korektivni zapisi. Takvo odbacivanje treba biti eksplicitno i dokumentirano.</w:t>
      </w:r>
    </w:p>
    <w:p>
      <w:pPr>
        <w:pStyle w:val="Heading1"/>
      </w:pPr>
      <w:r>
        <w:t>7. KAKVA JE ARHITEKTURA KOJA STVARNO POSTOJI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tblHeader w:val="true"/>
          <w:cantSplit/>
        </w:trPr>
        <w:tc>
          <w:tcPr>
            <w:tcW w:type="dxa" w:w="180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/>
              </w:rPr>
              <w:t>Sloj</w:t>
            </w:r>
          </w:p>
        </w:tc>
        <w:tc>
          <w:tcPr>
            <w:tcW w:type="dxa" w:w="367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/>
              </w:rPr>
              <w:t>Implementacija</w:t>
            </w:r>
          </w:p>
        </w:tc>
        <w:tc>
          <w:tcPr>
            <w:tcW w:type="dxa" w:w="374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/>
              </w:rPr>
              <w:t>Stvarni status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Ulaz podataka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CSV, auto_adapter, lokalna obrada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Operativno. Mrežni API i vanjski izvori moraju se zasebno verificirati.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Normalizacija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auto_adapter.py, DataNormalizer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Operativno. Testovi pokrivaju hrvatski i američki oblik brojeva.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Reconciliation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transparency_reconciler.py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Operativno. Provenance i hash-chain su ojačani u aktualnoj verziji.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Statistika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forensic_core.py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Operativna heuristika. Benford χ² je korigiran, ali ne predstavlja dokaz istinitosti podataka.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Dokazni hash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app.py SHA-256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Operativno za konkretnu datoteku.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Hash-chain ledger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append_hash_ledger / verify_chain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Implementirano na razini koda i testirano na promjeni payload-a, redoslijedu i brisanju zapisa.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P2P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p2p_network_mesh.py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Lokalni P2P mehanizam postoji. Ne predstavlja dokaz javnog globalnog validator-mesha.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Blockchain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ConsensusLedger.sol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Pametni ugovor postoji. Nema javno verificiranog produkcijskog deploymenta u ovom pregledu.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IPFS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roadmap i README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Opis arhitekture postoji. Aktualna produkcijska dostupnost pojedinog endpointa nije ovim dokumentom potvrđena.</w:t>
            </w:r>
          </w:p>
        </w:tc>
      </w:tr>
    </w:tbl>
    <w:p/>
    <w:p>
      <w:pPr>
        <w:pStyle w:val="Body"/>
      </w:pPr>
      <w:r>
        <w:t>Zaključak arhitekture nakon zadnjih izmjena: riječ je o local-first građanskom audit MVP-u s operativnim SHA-256 hashiranjem datoteke, implementiranim hash-chainom, testovima integriteta, provenance manifestom i lokalnim P2P mehanizmom. P2P i blockchain sloj treba opisivati kao implementirane/prototipne komponente, a ne kao javno dokazanu globalnu mrežu validatora ili produkcijski blockchain.</w:t>
      </w:r>
    </w:p>
    <w:p>
      <w:pPr>
        <w:pStyle w:val="Heading1"/>
      </w:pPr>
      <w:r>
        <w:t>8. IZVORNA SUO EKONERG I-03-1212, TEHNIČKA PROVJERA</w:t>
      </w:r>
    </w:p>
    <w:p>
      <w:pPr>
        <w:pStyle w:val="Body"/>
      </w:pPr>
      <w:r>
        <w:t>Dostavljena izvorna SUO studija ima 801 stranicu. Naslov zahvata je dekarbonizacija tvornice cementa u Koromačnu kroz izgradnju sustava za hvatanje ugljikova dioksida, s ciljem proizvodnje ugljično neutralnog cementa. Naručitelj je Holcim Hrvatska d.o.o., a ovlaštenik EKONERG d.o.o. [F9]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tblHeader w:val="true"/>
          <w:cantSplit/>
        </w:trPr>
        <w:tc>
          <w:tcPr>
            <w:tcW w:type="dxa" w:w="4320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Nalaz iz SUO-a</w:t>
            </w:r>
          </w:p>
        </w:tc>
        <w:tc>
          <w:tcPr>
            <w:tcW w:type="dxa" w:w="2232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Status</w:t>
            </w:r>
          </w:p>
        </w:tc>
        <w:tc>
          <w:tcPr>
            <w:tcW w:type="dxa" w:w="3312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Što treba dalje provjeriti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Dva spremnika po 3.000 m³, ukupno 6.000 m³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FAKT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Za javne tekstove koristiti m³, ne t.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16 bar(a), približno -29,4 °C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FAKT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Provjeriti konačni projekt i promjene u novoj verziji.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Poglavlje 1.4.5 transport i trajno skladištenje CO₂ izvan opsega zahvata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FAKT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U novoj proceduri provjeriti cjelokupni logistički lanac i pravni tretman prekograničnih učinaka.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Transport prema Ravenna CCS, brodovi oko 4.300 m³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DOKUMENTIRANO U SUO-u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Provjeriti konačne tipove plovila, rutu i mjere sigurnosti.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QRA scenariji 50.000 i 100.000 ppm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FAKT O MODELU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Ne izjednačavati s prognozom stvarnog incidenta.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Tekstualni opis 100.000 ppm i Tablica 4.20-18 daju različit zaključak o stambenom području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INDIKACIJA KONTRADIKCIJE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Tražiti službeno pojašnjenje autora studije.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ALARP klasifikacije u QRA-u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FAKT O STUDIJI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Provjeriti kriterije, ulazne pretpostavke i neovisnu recenziju.</w:t>
            </w:r>
          </w:p>
        </w:tc>
      </w:tr>
    </w:tbl>
    <w:p/>
    <w:p>
      <w:pPr>
        <w:pStyle w:val="Body"/>
      </w:pPr>
      <w:r>
        <w:t>Kod izvorne SUO studije treba biti posebno oprezan s ranijim tvrdnjama poput “salami slicing”, “greenwashing” ili “namjerno”. Sama činjenica da je određeni element izvan opsega jednog postupka jest dokumentirana. Zaključak da je to učinjeno s namjerom izbjegavanja procjene traži zasebnu pravnu i tehničku analizu cjelokupnog režima.</w:t>
      </w:r>
    </w:p>
    <w:p>
      <w:pPr>
        <w:pStyle w:val="Heading1"/>
      </w:pPr>
      <w:r>
        <w:t>9. TOKOVI OTPADA: KAKO ZATVORITI LANAC</w:t>
      </w:r>
    </w:p>
    <w:p>
      <w:pPr>
        <w:pStyle w:val="Body"/>
      </w:pPr>
      <w:r>
        <w:t>Dostavljeni materijali ispravno upozoravaju da se različiti tokovi ne smiju automatski spajati. To je jedna od najvažnijih metodoloških lekcija projekta.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tblHeader w:val="true"/>
          <w:cantSplit/>
        </w:trPr>
        <w:tc>
          <w:tcPr>
            <w:tcW w:type="dxa" w:w="2232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Tok</w:t>
            </w:r>
          </w:p>
        </w:tc>
        <w:tc>
          <w:tcPr>
            <w:tcW w:type="dxa" w:w="3744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Status u korpusu</w:t>
            </w:r>
          </w:p>
        </w:tc>
        <w:tc>
          <w:tcPr>
            <w:tcW w:type="dxa" w:w="3888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Dokument koji nedostaje za zatvaranje lanca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Gospić, oko 650 t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FAKT da postoji odluka o zbrinjavanju dijela otpada, ali konkretni EWC i svaki ulaz moraju se zasebno potvrditi.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EWC po pošiljci, vaga, CMR, ulazna analiza, odbijena/prihvaćena šarža, krajnji tok.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Gospić, veća opasna frakcija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ODVOJENO OD 650 t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Dokumentacija o točnoj klasifikaciji i odredištu.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Italija, povijesni R1 tokovi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DOKUMENTIRANO U DOSJEU ZA POVIJESNE POŠILJKE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Za aktualnu 2026. tvrdnju treba nova dokumentacija.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Kaštijun/Pazin → Koromačno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HIPOTEZA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Konkretni podaci o količini, datumu, dobavljaču, prijevozniku i odredištu.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19.013 t + 124 €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OTVORENO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Carinske deklaracije, notifikacije, CMR, fakture, vage i računovodstveni zapis.</w:t>
            </w:r>
          </w:p>
        </w:tc>
      </w:tr>
    </w:tbl>
    <w:p/>
    <w:p>
      <w:pPr>
        <w:pStyle w:val="Body"/>
      </w:pPr>
      <w:r>
        <w:t>Forenzički lanac treba izgledati ovako: izvor → klasifikacija → masa → prijevoz → ulaz u postrojenje → analiza → procesni zapis → emisije → završna evidencija. Ako jedna karika nedostaje, zapis se vodi kao nepotpun, ne kao dokaz manipulacije.</w:t>
      </w:r>
    </w:p>
    <w:p>
      <w:pPr>
        <w:pStyle w:val="Heading1"/>
      </w:pPr>
      <w:r>
        <w:t>10. STANJE NA TERENU, 29.09.2026.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tblHeader w:val="true"/>
          <w:cantSplit/>
        </w:trPr>
        <w:tc>
          <w:tcPr>
            <w:tcW w:type="dxa" w:w="2232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Događaj</w:t>
            </w:r>
          </w:p>
        </w:tc>
        <w:tc>
          <w:tcPr>
            <w:tcW w:type="dxa" w:w="4896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Čvrsto potvrđeno</w:t>
            </w:r>
          </w:p>
        </w:tc>
        <w:tc>
          <w:tcPr>
            <w:tcW w:type="dxa" w:w="2736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Granica izvora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22.09.2026. Gradsko vijeće Labina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Jednoglasno usvojen zaključak: preporuka Vladi da ukine odluku 10.09. o oporabi otpada iz Gospića u Holcimu, kontinuirana mjerenja, hermetički zatvoren transport ako ga bude, poseban fond za neovisna mjerenja. [W2]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Iza ovog zaključka nije automatski pravni učinak zabrane rada tvornice.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28.09.2026. Radna skupina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Traži od FZOEU-a, DIRH-a i Holcima dokumente i postavlja rok od pet radnih dana. [W3]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Medijski izvještaj prenosi zaključke skupine. Za dokazni paket čuvati službeni zapisnik/zaključak kad bude objavljen.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28.09.2026. MO Koromačno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Objavio “Apsolutno NE” prema KOdeCO i šest zahtjeva vezanih uz otpad, mjerenje i transparentnost. Istodobno izričito navodi da MO nema ovlasti donositi odluke. [W4]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To je službeno očitovanje MO-a, ne upravni akt koji sam zaustavlja projekt.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28.09.2026. sastanak Kapelica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Objavljeni izvještaj opisuje prometnu sigurnost, kamere, pješačke prijelaze, nogostup i kružni tok. U tom objavljenom izvještaju KOdeCO nije spomenut. [W5]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Izostanak iz objavljenog izvještaja ne dokazuje da se tema nije spomenula izvan izvještaja.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Blokade/prosvjedi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Lokalni mediji izvještavaju o blokadama kamiona i kasnijoj blokadi ulaza u tvornicu. [W6]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Broj sudionika, trajanje i uzročni učinak na odluke treba vezati uz svaki pojedinačni događaj.</w:t>
            </w:r>
          </w:p>
        </w:tc>
      </w:tr>
    </w:tbl>
    <w:p/>
    <w:p>
      <w:pPr>
        <w:pStyle w:val="Heading1"/>
      </w:pPr>
      <w:r>
        <w:t>11. LABINSKI SUSTAV TRANSPARENTNOSTI I CITYX</w:t>
      </w:r>
    </w:p>
    <w:p>
      <w:pPr>
        <w:pStyle w:val="Body"/>
      </w:pPr>
      <w:r>
        <w:t>Grad Labin na svojoj službenoj stranici objavljuje uslugu transparentnosti proračuna. GitHub dosje i lokalni materijali sadrže OSINT tvrdnju da se na aktivnim endpointima vidi “© 2026 CityX Apps d.o.o.”. U ovoj rundi nisam mogao neovisno dohvatiti production endpoint transparentor.org kroz web alat, pa ta oznaka ostaje INDIKACIJA, ne potvrđena činjenica.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tblHeader w:val="true"/>
          <w:cantSplit/>
        </w:trPr>
        <w:tc>
          <w:tcPr>
            <w:tcW w:type="dxa" w:w="4032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Pitanje</w:t>
            </w:r>
          </w:p>
        </w:tc>
        <w:tc>
          <w:tcPr>
            <w:tcW w:type="dxa" w:w="5832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Dokument koji treba dobiti</w:t>
            </w:r>
          </w:p>
        </w:tc>
      </w:tr>
      <w:tr>
        <w:trPr>
          <w:cantSplit/>
        </w:trPr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Koji softver i verzija danas generiraju javni portal?</w:t>
            </w:r>
          </w:p>
        </w:tc>
        <w:tc>
          <w:tcPr>
            <w:tcW w:type="dxa" w:w="58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Naziv proizvoda, verzija, release date, URL/API base.</w:t>
            </w:r>
          </w:p>
        </w:tc>
      </w:tr>
      <w:tr>
        <w:trPr>
          <w:cantSplit/>
        </w:trPr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Tko je ugovorni dobavljač?</w:t>
            </w:r>
          </w:p>
        </w:tc>
        <w:tc>
          <w:tcPr>
            <w:tcW w:type="dxa" w:w="58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Ugovor, aneksi, održavanje, SLA, račun.</w:t>
            </w:r>
          </w:p>
        </w:tc>
      </w:tr>
      <w:tr>
        <w:trPr>
          <w:cantSplit/>
        </w:trPr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Koji je source of truth?</w:t>
            </w:r>
          </w:p>
        </w:tc>
        <w:tc>
          <w:tcPr>
            <w:tcW w:type="dxa" w:w="58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Glavna knjiga, data warehouse, portalna baza ili API.</w:t>
            </w:r>
          </w:p>
        </w:tc>
      </w:tr>
      <w:tr>
        <w:trPr>
          <w:cantSplit/>
        </w:trPr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Postoji li audit log?</w:t>
            </w:r>
          </w:p>
        </w:tc>
        <w:tc>
          <w:tcPr>
            <w:tcW w:type="dxa" w:w="58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Korisnik, vrijeme, stara vrijednost, nova vrijednost, razlog.</w:t>
            </w:r>
          </w:p>
        </w:tc>
      </w:tr>
      <w:tr>
        <w:trPr>
          <w:cantSplit/>
        </w:trPr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Kako se radi javni export?</w:t>
            </w:r>
          </w:p>
        </w:tc>
        <w:tc>
          <w:tcPr>
            <w:tcW w:type="dxa" w:w="58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Opisni postupak i primjer izvornog CSV-a.</w:t>
            </w:r>
          </w:p>
        </w:tc>
      </w:tr>
      <w:tr>
        <w:trPr>
          <w:cantSplit/>
        </w:trPr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Kako je dokazana nepromjenjivost?</w:t>
            </w:r>
          </w:p>
        </w:tc>
        <w:tc>
          <w:tcPr>
            <w:tcW w:type="dxa" w:w="58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Originalni hash, datum hashiranja, neovisno sidro.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EAF1F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Body"/>
            </w:pPr>
            <w:r>
              <w:rPr>
                <w:b/>
                <w:color w:val="173C4D"/>
              </w:rPr>
              <w:t>Tri pitanja za sastanak: 1. Ako današnji portal nije CityX Transparentor, koji točno proizvod, verzija, API i hosting danas generiraju podatke i zašto se na endpointu pojavljuje CityX copyright? 2. Može li Grad pokazati originalni SHA-256 glavne knjige i javnog exporta istog skupa podataka? 3. Postoji li audit log svih izmjena javnih transakcija sa starom i novom vrijednošću?</w:t>
            </w:r>
          </w:p>
        </w:tc>
      </w:tr>
    </w:tbl>
    <w:p/>
    <w:p>
      <w:pPr>
        <w:pStyle w:val="Heading1"/>
      </w:pPr>
      <w:r>
        <w:t>12. PRAVNI I PROCEDURALNI OKVIR, ISPRAVLJENO</w:t>
      </w:r>
    </w:p>
    <w:p>
      <w:pPr>
        <w:pStyle w:val="Body"/>
      </w:pPr>
      <w:r>
        <w:t>Zakon o prostornom uređenju propisuje da u javnoj raspravi o prijedlogu prostornog plana može sudjelovati svatko. Zakon također određuje sadržaj izvješća o javnoj raspravi i obrazloženje neprihvaćenih primjedbi. [L1]</w:t>
      </w:r>
    </w:p>
    <w:p>
      <w:pPr>
        <w:pStyle w:val="Body"/>
      </w:pPr>
      <w:r>
        <w:t>Za ovaj slučaj ključno je odvojiti dva postupka. SUO za KOdeCO bila je jedna procedura, dok V. izmjene PPUO Raša predstavljaju zaseban prostorno-planski postupak. Javna rasprava o SUO-u je obustavljena nakon povlačenja zahtjeva investitora. To ne znači da nova prijava nije moguća. [W1]</w:t>
      </w:r>
    </w:p>
    <w:p>
      <w:pPr>
        <w:pStyle w:val="Body"/>
      </w:pPr>
      <w:r>
        <w:t>Zakon o pravu na pristup informacijama propisuje 15 dana za odlučivanje o urednom zahtjevu, uz mogućnost produljenja u zakonom predviđenim situacijama. Protiv rješenja i zbog šutnje postoji žalba Povjereniku za informiranje u skladu s člankom 25. [L2]</w:t>
      </w:r>
    </w:p>
    <w:p>
      <w:pPr>
        <w:pStyle w:val="Body"/>
      </w:pPr>
      <w:r>
        <w:t>ZKP čl. 55 uređuje situaciju u kojoj državni odvjetnik utvrdi da nema osnova za progon. Tada se oštećenik obavještava i može pod zakonskim uvjetima sam poduzeti ili nastaviti progon u roku od osam dana od primitka obavijesti. Samoizjašnjavanje osobe u prijavi ne stvara automatski procesni status oštećenika. [L3]</w:t>
      </w:r>
    </w:p>
    <w:p>
      <w:pPr>
        <w:pStyle w:val="Body"/>
      </w:pPr>
      <w:r>
        <w:t>Aarhuška konvencija daje važna prava javnosti u okolišnim postupcima, ali nije točno da su svi okolišni podaci bez iznimke pravno nezaštićeni od svakog ograničenja. Za svaki zahtjev treba primijeniti konkretna pravila pristupa informacijama i eventualnih iznimaka.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EAF1F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Body"/>
            </w:pPr>
            <w:r>
              <w:rPr>
                <w:b/>
                <w:color w:val="173C4D"/>
              </w:rPr>
              <w:t>Pravno najčišći put nije “proglasiti projekt nezakonitim”, nego dokumentirati konkretan procesni propust, tražiti konkretan akt, zatražiti pravni lijek koji pripada baš tom aktu i čuvati rokove.</w:t>
            </w:r>
          </w:p>
        </w:tc>
      </w:tr>
    </w:tbl>
    <w:p/>
    <w:p>
      <w:pPr>
        <w:pStyle w:val="Heading1"/>
      </w:pPr>
      <w:r>
        <w:t>13. PUTOVI KOJIMA SE MOŽE OSPORAVATI NOVA FAZA KOdeCO</w:t>
      </w:r>
    </w:p>
    <w:p>
      <w:pPr>
        <w:pStyle w:val="Body"/>
      </w:pPr>
      <w:r>
        <w:t>Ne postoji jedan gumb kojim građani mogu zaustaviti projekt. Nova faza mora proći više međusobno povezanih procedura. Svaki od njih proizvodi zasebnu mogućnost provjere i pravnog osporavanja, ovisno o konkretnom aktu.</w:t>
      </w:r>
    </w:p>
    <w:p>
      <w:pPr>
        <w:pStyle w:val="Heading2"/>
      </w:pPr>
      <w:r>
        <w:t>A. Prostorni plan</w:t>
      </w:r>
    </w:p>
    <w:p>
      <w:pPr>
        <w:pStyle w:val="Body"/>
      </w:pPr>
      <w:r>
        <w:t>Pratiti konačni prijedlog V. izmjena PPUO Raša, izvješće o javnoj raspravi, karte, tekstualne odredbe i mišljenje županijskog zavoda. U svakoj primjedbi navesti točan članak, kartu, lokaciju ili nedostajući podatak. [L1]</w:t>
      </w:r>
    </w:p>
    <w:p>
      <w:pPr>
        <w:pStyle w:val="Heading2"/>
      </w:pPr>
      <w:r>
        <w:t>B. Nova PUO/SUO</w:t>
      </w:r>
    </w:p>
    <w:p>
      <w:pPr>
        <w:pStyle w:val="Body"/>
      </w:pPr>
      <w:r>
        <w:t>Tražiti cijelu novu studiju, tehničke podloge, QRA, ulazne podatke, meteorologiju, disperzijski model, scenarij bez zahvata i rezultate neovisne recenzije.</w:t>
      </w:r>
    </w:p>
    <w:p>
      <w:pPr>
        <w:pStyle w:val="Heading2"/>
      </w:pPr>
      <w:r>
        <w:t>C. Okolišna dozvola</w:t>
      </w:r>
    </w:p>
    <w:p>
      <w:pPr>
        <w:pStyle w:val="Body"/>
      </w:pPr>
      <w:r>
        <w:t>Provjeriti koje EWC kodove, granične vrijednosti i monitoring dopušta važeća okolišna dozvola. Ministarstvo vodi javnu dokumentaciju o Holcimu i njegovim izmjenama. [W7]</w:t>
      </w:r>
    </w:p>
    <w:p>
      <w:pPr>
        <w:pStyle w:val="Heading2"/>
      </w:pPr>
      <w:r>
        <w:t>D. Inspekcija</w:t>
      </w:r>
    </w:p>
    <w:p>
      <w:pPr>
        <w:pStyle w:val="Body"/>
      </w:pPr>
      <w:r>
        <w:t>Za svako prekoračenje vezati datum, vrijednost, mjerno mjesto, GVE, zapisnik inspektora i korektivnu mjeru. Ne oslanjati se samo na graf ili screenshot.</w:t>
      </w:r>
    </w:p>
    <w:p>
      <w:pPr>
        <w:pStyle w:val="Heading2"/>
      </w:pPr>
      <w:r>
        <w:t>E. ZPPI</w:t>
      </w:r>
    </w:p>
    <w:p>
      <w:pPr>
        <w:pStyle w:val="Body"/>
      </w:pPr>
      <w:r>
        <w:t>Zahtijevati raw AMS, vage, EWC, ulazne analize, inspekcijske spise i ugovore. Svaki zahtjev voditi zasebno i pratiti rokove. [L2]</w:t>
      </w:r>
    </w:p>
    <w:p>
      <w:pPr>
        <w:pStyle w:val="Heading2"/>
      </w:pPr>
      <w:r>
        <w:t>F. Upravni lijekovi</w:t>
      </w:r>
    </w:p>
    <w:p>
      <w:pPr>
        <w:pStyle w:val="Body"/>
      </w:pPr>
      <w:r>
        <w:t>Ako se donese konkretan rješenje ili drugi osporivi akt, vrstu žalbe ili upravnog spora treba vezati uz taj akt i procesni položaj podnositelja. Za odgodni učinak ili privremenu mjeru treba procjenu odvjetnika prema konkretnom postupku.</w:t>
      </w:r>
    </w:p>
    <w:p>
      <w:pPr>
        <w:pStyle w:val="Heading1"/>
      </w:pPr>
      <w:r>
        <w:t>14. HITNI PAKET, ROK OD PET RADNIH DANA</w:t>
      </w:r>
    </w:p>
    <w:p>
      <w:pPr>
        <w:pStyle w:val="Body"/>
      </w:pPr>
      <w:r>
        <w:t>Radna skupina je 28.09.2026. od FZOEU-a, DIRH-a i Holcima zatražila dokumentaciju te postavila rok od pet radnih dana. [W3] To stvara vrlo konkretan forenzički zadatak za građanski dosje.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tblHeader w:val="true"/>
          <w:cantSplit/>
        </w:trPr>
        <w:tc>
          <w:tcPr>
            <w:tcW w:type="dxa" w:w="1944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Institucija</w:t>
            </w:r>
          </w:p>
        </w:tc>
        <w:tc>
          <w:tcPr>
            <w:tcW w:type="dxa" w:w="4320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Traženo</w:t>
            </w:r>
          </w:p>
        </w:tc>
        <w:tc>
          <w:tcPr>
            <w:tcW w:type="dxa" w:w="3600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MARA obrada nakon primitka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FZOEU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Analize otpada iz big-bag vreća i plan sanacije PPK Gospić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Hash svakog dokumenta, EWC/matrica analize, usporedba uzoraka.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DIRH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Svi nadzori Holcima 2025. i 2026., posebno nakon pretkalcinatora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Kronologija inspekcija, nalaza, GVE, mjera i izvršenja.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Holcim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Interne kemijsko-tehnološke analize otpada, način uporabe, dodatna mjerenja emisija, sirovi kontinuirani podaci, srednjoročni plan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Cross-check sa službenom dozvolom, laboratorijskim analizama i AMS podacima.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Imisijska postaja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Rezultati 30-dnevnog mjerenja u Koromačnom čim analitičko izvješće bude dostupno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Vremenska serija, meteorologija, izvori emisija, prostorna usporedba.</w:t>
            </w:r>
          </w:p>
        </w:tc>
      </w:tr>
    </w:tbl>
    <w:p/>
    <w:p>
      <w:pPr>
        <w:pStyle w:val="Heading1"/>
      </w:pPr>
      <w:r>
        <w:t>15. SCRIBEHOW I RAD GRAĐANINA, OD NULE DO DOKAZA</w:t>
      </w:r>
    </w:p>
    <w:p>
      <w:pPr>
        <w:pStyle w:val="Body"/>
      </w:pPr>
      <w:r>
        <w:t>Aktualni repozitorij sada sadrži requirements.txt. Dokumentirani instalacijski postupak može se zato vezati uz stvarne runtime ovisnosti, uz napomenu da P2P čvor traži konfiguriranu HMAC tajnu.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F4F4F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Windows PowerShell ili CMD</w:t>
              <w:br/>
              <w:t>cd C:\putanja\open-fiscal-forensics</w:t>
              <w:br/>
              <w:t>pip install -r requirements.txt</w:t>
              <w:br/>
              <w:t>streamlit run app.py</w:t>
            </w:r>
          </w:p>
        </w:tc>
      </w:tr>
    </w:tbl>
    <w:p/>
    <w:p>
      <w:pPr>
        <w:pStyle w:val="Body"/>
      </w:pPr>
      <w:r>
        <w:t>Aktualni popis ovisnosti pokriva streamlit, pandas, matplotlib, reportlab, requests, web3 i urllib3. hashlib je dio standardne Python biblioteke i ne instalira se zasebno.</w:t>
      </w:r>
    </w:p>
    <w:p>
      <w:pPr>
        <w:pStyle w:val="Body"/>
      </w:pPr>
      <w:r>
        <w:t>Nakon pokretanja građanin učitava izvorni CSV, upisuje metapodatke, pokreće audit, sprema rezultat i SHA-256 te čuva originalnu datoteku. Simulaciju cenzure treba koristiti samo kao test detekcije.</w:t>
      </w:r>
    </w:p>
    <w:p>
      <w:pPr>
        <w:pStyle w:val="Heading2"/>
      </w:pPr>
      <w:r>
        <w:t>15.1 VS CODE, STATUS NAKON MVP POLISH PASSA</w:t>
      </w:r>
    </w:p>
    <w:p>
      <w:pPr>
        <w:pStyle w:val="ListNumber"/>
      </w:pPr>
      <w:r>
        <w:t>SHA-256 hash-chain i verify_chain: ZATVORENO u aktualnom transparency_reconciler.py.</w:t>
      </w:r>
    </w:p>
    <w:p>
      <w:pPr>
        <w:pStyle w:val="ListNumber"/>
      </w:pPr>
      <w:r>
        <w:t>Benford χ² skala: ZATVORENO u aktualnom forensic_core.py.</w:t>
      </w:r>
    </w:p>
    <w:p>
      <w:pPr>
        <w:pStyle w:val="ListNumber"/>
      </w:pPr>
      <w:r>
        <w:t>Private key i HMAC secret: ZATVORENO na razini izvornog koda. P2P čvor traži OFFF_HMAC_SECRET iz okruženja.</w:t>
      </w:r>
    </w:p>
    <w:p>
      <w:pPr>
        <w:pStyle w:val="ListNumber"/>
      </w:pPr>
      <w:r>
        <w:t>requirements.txt: ZATVORENO i usklađeno sa stvarnim importima glavne aplikacije.</w:t>
      </w:r>
    </w:p>
    <w:p>
      <w:pPr>
        <w:pStyle w:val="ListNumber"/>
      </w:pPr>
      <w:r>
        <w:t>PDF tablice: ZATVORENO. Aktualni pdf_generator.py koristi Paragraph ćelije i wordWrap="CJK".</w:t>
      </w:r>
    </w:p>
    <w:p>
      <w:pPr>
        <w:pStyle w:val="ListNumber"/>
      </w:pPr>
      <w:r>
        <w:t>Testovi integriteta: ZATVORENO za promjenu jednog centa, redoslijed bloka i brisanje zapisa, uz provjere formata brojeva.</w:t>
      </w:r>
    </w:p>
    <w:p>
      <w:pPr>
        <w:pStyle w:val="ListNumber"/>
      </w:pPr>
      <w:r>
        <w:t>Provenance manifest: ZATVORENO na razini MVP sheme 2.0.0-Hardened, s proširenim revizorskim poljima.</w:t>
      </w:r>
    </w:p>
    <w:p>
      <w:pPr>
        <w:pStyle w:val="ListNumber"/>
      </w:pPr>
      <w:r>
        <w:t>Preostalo iz ovog tehničkog ciklusa: repository hygiene i uklanjanje već praćenih generiranih artefakata.</w:t>
      </w:r>
    </w:p>
    <w:p>
      <w:pPr>
        <w:pStyle w:val="ListNumber"/>
      </w:pPr>
      <w:r>
        <w:t>361-lanac ostaje povijesni/idejni sloj i ne koristi se kao lokalni dokaz Koromačna.</w:t>
      </w:r>
    </w:p>
    <w:p>
      <w:pPr>
        <w:pStyle w:val="ListNumber"/>
      </w:pPr>
      <w:r>
        <w:t>Nova izmjena prolazi lokalni test, ručni pregled, commit i provjeru javnog repozitorija.</w:t>
      </w:r>
    </w:p>
    <w:p>
      <w:pPr>
        <w:pStyle w:val="ListNumber"/>
      </w:pPr>
      <w:r>
        <w:t>Statistički rezultat nije dokaz kaznene odgovornosti niti potpune vjerodostojnosti izvornog računovodstva.</w:t>
      </w:r>
    </w:p>
    <w:p>
      <w:pPr>
        <w:pStyle w:val="ListNumber"/>
      </w:pPr>
      <w:r>
        <w:t>Svaka nova materijalna tvrdnja dobiva dokazni status i primarni izvor.</w:t>
      </w:r>
    </w:p>
    <w:p>
      <w:pPr>
        <w:pStyle w:val="Heading2"/>
      </w:pPr>
      <w:r>
        <w:t>15.2 VS CODE, PREOSTALI REPOSITORY HYGIENE</w:t>
      </w:r>
    </w:p>
    <w:p>
      <w:pPr>
        <w:pStyle w:val="Body"/>
      </w:pPr>
      <w:r>
        <w:t>Preostali VS Code posao nakon zatvorenog MVP hardeninga je repository hygiene. Ne dirati funkcionalnu jezgru bez konkretnog razloga i testa.</w:t>
      </w:r>
    </w:p>
    <w:p>
      <w:pPr>
        <w:pStyle w:val="Body"/>
      </w:pPr>
      <w:r>
        <w:t>A. Ukloniti već praćene .pyc, signatures.db, my_risk_oibs.json i generirane privremene slike iz Git repozitorija, ne samo iz lokalnog direktorija.</w:t>
      </w:r>
    </w:p>
    <w:p>
      <w:pPr>
        <w:pStyle w:val="Body"/>
      </w:pPr>
      <w:r>
        <w:t>B. Provjeriti git history za eventualne stvarne tajne. Ako je stvarni tajni ključ ikada bio commitan, treba ga rotirati i procijeniti potrebu za čišćenjem povijesti.</w:t>
      </w:r>
    </w:p>
    <w:p>
      <w:pPr>
        <w:pStyle w:val="Body"/>
      </w:pPr>
      <w:r>
        <w:t>C. forenzika i Benford više nisu otvorena popravka. Dalje se samo provjerava regresija testovima.</w:t>
      </w:r>
    </w:p>
    <w:p>
      <w:pPr>
        <w:pStyle w:val="Body"/>
      </w:pPr>
      <w:r>
        <w:t>D. P2P sigurnosna promjena je ugrađena. Ostaje samo provjera da je OFFF_HMAC_SECRET postavljen u stvarnom okruženju prije pokretanja noda.</w:t>
      </w:r>
    </w:p>
    <w:p>
      <w:pPr>
        <w:pStyle w:val="Body"/>
      </w:pPr>
      <w:r>
        <w:t>E. Reorganizaciju /src /contracts /data /public /archive provesti tek nakon provjere svih importova, relativnih putanja i GitHub Pages linkova.</w:t>
      </w:r>
    </w:p>
    <w:p>
      <w:pPr>
        <w:pStyle w:val="Body"/>
      </w:pPr>
      <w:r>
        <w:t>F. .gitignore pravila postoje, ali već praćeni artefakti moraju se zasebno ukloniti iz Git repozitorija.</w:t>
      </w:r>
    </w:p>
    <w:p>
      <w:pPr>
        <w:pStyle w:val="Body"/>
      </w:pPr>
      <w:r>
        <w:t>G. requirements.txt je sada prisutan i treba ostati sinkroniziran s importima aplikacije.</w:t>
      </w:r>
    </w:p>
    <w:p>
      <w:pPr>
        <w:pStyle w:val="Body"/>
      </w:pPr>
      <w:r>
        <w:t>H. Provenance manifest je proširen na MVP shemu 2.0.0-Hardened. Nove izvore treba puniti stvarnim, a ne fiksnim primjerima.</w:t>
      </w:r>
    </w:p>
    <w:p>
      <w:pPr>
        <w:pStyle w:val="Body"/>
      </w:pPr>
      <w:r>
        <w:t>I. Testovi integriteta su dodani. Nakon novih izmjena treba pokrenuti regresijski paket i ručno pregledati rezultat.</w:t>
      </w:r>
    </w:p>
    <w:p>
      <w:pPr>
        <w:pStyle w:val="Body"/>
      </w:pPr>
      <w:r>
        <w:t>J. VS Code dnevni red ostaje: git status → promjena → lokalni testovi → ručni pregled → commit → push → provjera GitHuba.</w:t>
      </w:r>
    </w:p>
    <w:p>
      <w:pPr>
        <w:pStyle w:val="Heading1"/>
      </w:pPr>
      <w:r>
        <w:t>16. UČINKOVITOST PROJEKTA, BEZ POLITIČKOG BODOVANJA</w:t>
      </w:r>
    </w:p>
    <w:p>
      <w:pPr>
        <w:pStyle w:val="Body"/>
      </w:pPr>
      <w:r>
        <w:t>Raniji AI dokumenti koriste postotke poput 65/35 ili 85/15. Takvi postoci nemaju empirijsku metodu i ne koriste se u ovom završnom izvještaju. Umjesto toga, učinak se može mjeriti stvarnim ishodima.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tblHeader w:val="true"/>
          <w:cantSplit/>
        </w:trPr>
        <w:tc>
          <w:tcPr>
            <w:tcW w:type="dxa" w:w="2160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Mjerilo</w:t>
            </w:r>
          </w:p>
        </w:tc>
        <w:tc>
          <w:tcPr>
            <w:tcW w:type="dxa" w:w="3672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Što postoji</w:t>
            </w:r>
          </w:p>
        </w:tc>
        <w:tc>
          <w:tcPr>
            <w:tcW w:type="dxa" w:w="4032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Kako mjeriti dalje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Razvojni rad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Javni Git commit tragovi kroz dva repozitorija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Broj kvalitetnih funkcija, testova, source-level corrections i izdanja.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Dokumentacijski rad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Brojni PDF/MD dokumenti, evidence matrix, pravni predlošci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Broj primarnih izvora po tvrdnji i zatvorenih dokaznih karika.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Institucionalni odgovor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Gradsko vijeće Labina donijelo jednoglasni zaključak. Radna skupina 28.09. traži podatke i daje rok. [W2][W3]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Broj dostavljenih dokumenata, kvaliteta podataka i rokovi odgovora.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Javna transparentnost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GitHub i web dosje dostupni javnosti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Broj ažuriranih izvora sa hashom i dokaznim statusom.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Terenski pritisak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Dokumentirane blokade i javna okupljanja. [W6]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Broj događaja, službeni zapisnici i konkretne institucionalne reakcije.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Pravna kvaliteta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ZPPI obrasci, zahtjev za statusom, predložak kaznene prijave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Broj pravilno formuliranih podnesaka i procesnih odgovora.</w:t>
            </w:r>
          </w:p>
        </w:tc>
      </w:tr>
    </w:tbl>
    <w:p/>
    <w:p>
      <w:pPr>
        <w:pStyle w:val="Body"/>
      </w:pPr>
      <w:r>
        <w:t>Što se može dokazati: inicijativa je proizvela stvarnu količinu softvera, dokumentacije i javne infrastrukture. Što se ne može dokazati samo tim činjenicama: da je upravo inicijativa uzrokovala svaki pojedini odgovor institucija ili svaku odluku investitora.</w:t>
      </w:r>
    </w:p>
    <w:p>
      <w:pPr>
        <w:pStyle w:val="Heading1"/>
      </w:pPr>
      <w:r>
        <w:t>17. LJUDSKI RAD I AI, ŠTO SE STVARNO MOŽE REĆI</w:t>
      </w:r>
    </w:p>
    <w:p>
      <w:pPr>
        <w:pStyle w:val="Body"/>
      </w:pPr>
      <w:r>
        <w:t>GitHub daje provjerljiv trag razvojnih događaja, ali ne omogućuje zaključivanje o broju radnih sati bez zasebnog vremenskog dnevnika.</w:t>
      </w:r>
    </w:p>
    <w:p>
      <w:pPr>
        <w:pStyle w:val="Body"/>
      </w:pPr>
      <w:r>
        <w:t>Također, nema osnove tvrditi da je AI samostalno proveo terensku istragu. AI modeli su analizirali materijale, a operativni rad, prikupljanje linkova, učitavanje dokumenata, terenska opažanja i GitHub izmjene potječu iz ljudskog projekta. U završnom dosjeu AI treba biti tretiran kao analitički pomoćnik, ne kao svjedok, istražitelj ili izvor primarnih činjenica.</w:t>
      </w:r>
    </w:p>
    <w:p>
      <w:pPr>
        <w:sectPr>
          <w:headerReference w:type="default" r:id="rId9"/>
          <w:footerReference w:type="default" r:id="rId10"/>
          <w:pgSz w:w="12240" w:h="15840"/>
          <w:pgMar w:top="893" w:right="936" w:bottom="893" w:left="936" w:header="720" w:footer="720" w:gutter="0"/>
          <w:cols w:space="720"/>
          <w:docGrid w:linePitch="360"/>
        </w:sectPr>
        <w:spacing w:before="0" w:after="0"/>
      </w:pPr>
    </w:p>
    <w:p>
      <w:pPr>
        <w:pStyle w:val="Heading1"/>
      </w:pPr>
      <w:r>
        <w:t>18. JEDINSTVENA ALL-IN DOKAZNA MATRICA</w:t>
      </w:r>
    </w:p>
    <w:p>
      <w:pPr>
        <w:pStyle w:val="Body"/>
      </w:pPr>
      <w:r>
        <w:t>Ova matrica je jezgra projekta. Ona razdvaja tvrdnje koje ranije AI analize često spajaju u jednu rečenicu.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tblHeader w:val="true"/>
          <w:cantSplit/>
        </w:trPr>
        <w:tc>
          <w:tcPr>
            <w:tcW w:type="dxa" w:w="3024"/>
            <w:shd w:fill="DCE7EC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b/>
                <w:sz w:val="11"/>
              </w:rPr>
              <w:t>Tvrdnja / pitanje</w:t>
            </w:r>
          </w:p>
        </w:tc>
        <w:tc>
          <w:tcPr>
            <w:tcW w:type="dxa" w:w="1800"/>
            <w:shd w:fill="DCE7EC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b/>
                <w:sz w:val="11"/>
              </w:rPr>
              <w:t>Status</w:t>
            </w:r>
          </w:p>
        </w:tc>
        <w:tc>
          <w:tcPr>
            <w:tcW w:type="dxa" w:w="4320"/>
            <w:shd w:fill="DCE7EC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b/>
                <w:sz w:val="11"/>
              </w:rPr>
              <w:t>Što imamo</w:t>
            </w:r>
          </w:p>
        </w:tc>
        <w:tc>
          <w:tcPr>
            <w:tcW w:type="dxa" w:w="2880"/>
            <w:shd w:fill="DCE7EC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b/>
                <w:sz w:val="11"/>
              </w:rPr>
              <w:t>Što treba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Holcim je 28.08.2026. odustao od tadašnjeg PUO zahtjeva.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FAKT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Službena obavijest Županije i rješenje Ministarstva. [W1]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Sačuvati izvorni akt u evidence vaultu.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Nova studija treba biti usklađena s PPUO Raša.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DOKUMENTIRANA TVRDNJA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Holcimova javna komunikacija.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Nova studija i konačni plan.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V. PPUO izmjene povezane su s industrijskom zonom i lučkom infrastrukturom.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DOKUMENTIRANO U PLANERSKOM KORPUSU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Službena planerska dokumentacija.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Konačni prijedlog i konačne karte.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Projekt ima dva spremnika po 3.000 m³.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FAKT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Izvorni SUO. [F9]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Samo provjera nove verzije.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Projekt ima 6.000 tona spremnika.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POGREŠNO MJERNO IZRAŽAVANJE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Raniji AI tekstovi.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Koristiti 6.000 m³ dok se masa ne računa iz provjerenih gustoća.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Transport CO₂ izvan opsega SUO.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FAKT O DOKUMENTU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Poglavlje 1.4.5. [F9]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Pravna ocjena ukupnog lanca.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100.000 ppm ne doseže stanovanje.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KONTRADIKCIJA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Tekstualni dio i Tablica 4.20-18 nisu međusobno usklađeni.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Formalni odgovor autora SUO/QRA.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50.000 ppm scenarij doseže stanovanje.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FAKT O MODELU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QRA tablica/scenarij.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Neovisni peer review ulaza modela.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R1 ulazi 29.800-32.800 t/god.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DOKUMENTIRANO U SUO / RADNIM ANALIZAMA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Tablica i analiza.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Potvrda iz evidencije stvarnih ulaza.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19 12 10 dominira s 20.700-22.100 t/god.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DOKUMENTIRANO U RADNIM MATERIJALIMA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SUO/radna analiza.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Provjera po godinama i KBO zapisima.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Gospić 650 t je neopasan otpad.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DOKUMENTIRANO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Vladina odluka i lokalni akti.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Točan EWC i originalne analize po šarži.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Svi EWC kodovi Gospić su 19 12 04/10/12.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OTVORENO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AI dokumenti navode ih kao moguće kodove.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Službeni EWC kod svake pošiljke.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19.013 t talijanskog otpada ušlo je za 124 €.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OTVORENO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Ponovljena tvrdnja u radnim dokumentima.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Carina, notifikacije, CMR, račun, vaga.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Kaštijun/Pazin generiraju tok koji je preusmjeren u Koromačno.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HIPOTEZA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Regionalna vremenska i kapacitetna korelacija.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Primarni transportni i ugovorni podaci.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CityX copyright dokazuje isti backend.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INDICIJA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OSINT/screenshot navod.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HTTP, DNS, TLS, API, ugovor, deployment.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Grad ima nepromjenjivi hash-ledger.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OTVORENO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Konceptualna dokumentacija.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Prava chain validacija u produkciji.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15.000 € je stvarno skriveno.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SIMULACIJA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UI checkbox scenarij.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Primarni računovodstveni dokaz, ako takav događaj postoji.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148 TOC prekoračenja.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DOKUMENTIRANA TVRDNJA / INDIKACIJA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Lokalni zapisnici i radni dosjei.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RAW AMS, datum, mjerno mjesto, GVE.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Emisije su se povećale 10-15x zbog pretkalcinatora.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DOKUMENTIRANA TVRDNJA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Izjave na lokalnim sjednicama.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Sirove usporedive vrijednosti i metodologija.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Zdravstveni učinci dr. Mohorovića potvrđuju štetu u Koromačnom.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OTVORENO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Navodi u radnim tekstovima.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Originalne znanstvene publikacije i lokalni epidemiološki podaci.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“Greenwashing” je dokazan.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NIJE DOKAZANO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Interpretacija u AI dokumentima.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Dokumentirani marketinški claim + ekspertna analiza, uz pravnu rezervu.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Status oštećenika automatski nastaje prijavom.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POGREŠNO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Raniji AI pravni tekstovi.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Primjenjivati ZKP prema konkretnom procesnom položaju.</w:t>
            </w:r>
          </w:p>
        </w:tc>
      </w:tr>
      <w:tr>
        <w:trPr>
          <w:cantSplit/>
        </w:trPr>
        <w:tc>
          <w:tcPr>
            <w:tcW w:type="dxa" w:w="3024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Aarhus znači da okolišni podaci nikad ne smiju imati iznimku.</w:t>
            </w:r>
          </w:p>
        </w:tc>
        <w:tc>
          <w:tcPr>
            <w:tcW w:type="dxa" w:w="180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PREŠIROKO</w:t>
            </w:r>
          </w:p>
        </w:tc>
        <w:tc>
          <w:tcPr>
            <w:tcW w:type="dxa" w:w="432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Raniji AI tekstovi.</w:t>
            </w:r>
          </w:p>
        </w:tc>
        <w:tc>
          <w:tcPr>
            <w:tcW w:type="dxa" w:w="2880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</w:tcPr>
          <w:p>
            <w:pPr>
              <w:pStyle w:val="TableText"/>
              <w:spacing w:after="0" w:before="0" w:line="216" w:lineRule="auto"/>
            </w:pPr>
            <w:r>
              <w:rPr>
                <w:sz w:val="11"/>
              </w:rPr>
              <w:t>Primjena konkretnog ZPPI/okolišnog postupka.</w:t>
            </w:r>
          </w:p>
        </w:tc>
      </w:tr>
    </w:tbl>
    <w:p/>
    <w:p>
      <w:pPr>
        <w:sectPr>
          <w:pgSz w:w="15840" w:h="12240" w:orient="landscape"/>
          <w:pgMar w:top="792" w:right="720" w:bottom="792" w:left="720" w:header="720" w:footer="720" w:gutter="0"/>
          <w:cols w:space="720"/>
          <w:docGrid w:linePitch="360"/>
        </w:sectPr>
        <w:spacing w:before="0" w:after="0"/>
      </w:pPr>
    </w:p>
    <w:p>
      <w:pPr>
        <w:pStyle w:val="Heading1"/>
      </w:pPr>
      <w:r>
        <w:t>19. KONAČNI NEOVISNI PRIJEDLOZI MARA</w:t>
      </w:r>
    </w:p>
    <w:p>
      <w:pPr>
        <w:pStyle w:val="Heading2"/>
      </w:pPr>
      <w:r>
        <w:t>1. Pretvori MARA-u u dokazni registar, ne u generator optužbi.</w:t>
      </w:r>
    </w:p>
    <w:p>
      <w:pPr>
        <w:pStyle w:val="Body"/>
      </w:pPr>
      <w:r>
        <w:t>Svaki nalaz mora imati izvor, hash, datum, status dokaza i osobu koja ga je provjerila.</w:t>
      </w:r>
    </w:p>
    <w:p>
      <w:pPr>
        <w:pStyle w:val="Heading2"/>
      </w:pPr>
      <w:r>
        <w:t>2. Napravi dvije odvojene baze.</w:t>
      </w:r>
    </w:p>
    <w:p>
      <w:pPr>
        <w:pStyle w:val="Body"/>
      </w:pPr>
      <w:r>
        <w:t>Financijski ledger i environmental ledger trebaju ostati odvojeni, a povezivati se preko datuma, projekta, dobavljača, OIB-a, lokacije, ugovora i drugog provjerljivog ključa.</w:t>
      </w:r>
    </w:p>
    <w:p>
      <w:pPr>
        <w:pStyle w:val="Heading2"/>
      </w:pPr>
      <w:r>
        <w:t>3. Uvedi two-person rule za objavu.</w:t>
      </w:r>
    </w:p>
    <w:p>
      <w:pPr>
        <w:pStyle w:val="Body"/>
      </w:pPr>
      <w:r>
        <w:t>Jedna osoba provjerava dokument, druga provjerava formulaciju zaključka. Tek tada ide javna objava.</w:t>
      </w:r>
    </w:p>
    <w:p>
      <w:pPr>
        <w:pStyle w:val="Heading2"/>
      </w:pPr>
      <w:r>
        <w:t>4. Uspostavi evidence vault.</w:t>
      </w:r>
    </w:p>
    <w:p>
      <w:pPr>
        <w:pStyle w:val="Body"/>
      </w:pPr>
      <w:r>
        <w:t>Originalni PDF/CSV, SHA-256, URL, vrijeme preuzimanja i verzija izvora čuvaju se nepromijenjeni.</w:t>
      </w:r>
    </w:p>
    <w:p>
      <w:pPr>
        <w:pStyle w:val="Heading2"/>
      </w:pPr>
      <w:r>
        <w:t>5. Funkcionalni OFFF hardening je proveden. Prije novih funkcija prioritet je repository hygiene i dokumentacijska sinkronizacija.</w:t>
      </w:r>
    </w:p>
    <w:p>
      <w:pPr>
        <w:pStyle w:val="Body"/>
      </w:pPr>
      <w:r>
        <w:t>Hash-chain, Benford formula, requirements.txt, secrets, testovi i provenance već su funkcionalno obrađeni. Prije novih funkcija prednost sada imaju repository hygiene i sinkronizacija dokumentacije.</w:t>
      </w:r>
    </w:p>
    <w:p>
      <w:pPr>
        <w:pStyle w:val="Heading2"/>
      </w:pPr>
      <w:r>
        <w:t>6. 361-lanac zadrži, ali ga izoliraj.</w:t>
      </w:r>
    </w:p>
    <w:p>
      <w:pPr>
        <w:pStyle w:val="Body"/>
      </w:pPr>
      <w:r>
        <w:t>To je dio povijesti i koncepta projekta. Globalne tvrdnje ne smiju se pojavljivati kao dokaz Koromačna.</w:t>
      </w:r>
    </w:p>
    <w:p>
      <w:pPr>
        <w:pStyle w:val="Heading2"/>
      </w:pPr>
      <w:r>
        <w:t>7. Prioritet prvih pet radnih dana ostaju stvarni dokumenti: FZOEU, DIRH i Holcim podaci koje Radna skupina traži. [W3]</w:t>
      </w:r>
    </w:p>
    <w:p>
      <w:pPr>
        <w:pStyle w:val="Body"/>
      </w:pPr>
      <w:r>
        <w:t>Sve ostalo je sekundarno dok ne stignu FZOEU, DIRH i Holcim podaci koje Radna skupina traži. [W3]</w:t>
      </w:r>
    </w:p>
    <w:p>
      <w:pPr>
        <w:pStyle w:val="Heading2"/>
      </w:pPr>
      <w:r>
        <w:t>8. Neovisna stručna skupina ima smisla kao kontrolni sloj.</w:t>
      </w:r>
    </w:p>
    <w:p>
      <w:pPr>
        <w:pStyle w:val="Body"/>
      </w:pPr>
      <w:r>
        <w:t>Ali mora imati neovisno uzorkovanje i laboratorijsko mjerenje. Ako nema pristup sirovim podacima, njen učinak je ograničen.</w:t>
      </w:r>
    </w:p>
    <w:p>
      <w:pPr>
        <w:pStyle w:val="Heading2"/>
      </w:pPr>
      <w:r>
        <w:t>9. Građani mogu raditi bez čekanja posebnog odbora.</w:t>
      </w:r>
    </w:p>
    <w:p>
      <w:pPr>
        <w:pStyle w:val="Body"/>
      </w:pPr>
      <w:r>
        <w:t>Open-source alati, ZPPI i javni postupci već daju dovoljno infrastrukture za vlastiti dokazni registar. Službena tijela i građanski alat imaju različite funkcije.</w:t>
      </w:r>
    </w:p>
    <w:p>
      <w:pPr>
        <w:pStyle w:val="Heading2"/>
      </w:pPr>
      <w:r>
        <w:t>10. Pravna komunikacija mora ostati hladna.</w:t>
      </w:r>
    </w:p>
    <w:p>
      <w:pPr>
        <w:pStyle w:val="Body"/>
      </w:pPr>
      <w:r>
        <w:t>Izbaciti privatni život, motive, “oligarhiju”, “ucjenu”, “greenwashing” i “dokazani umišljaj” iz činjeničnog dijela gdje ne postoji primarni dokaz.</w:t>
      </w:r>
    </w:p>
    <w:p>
      <w:pPr>
        <w:pStyle w:val="Heading1"/>
      </w:pPr>
      <w:r>
        <w:t>20. 0-5-30-90 RADNI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tblHeader w:val="true"/>
          <w:cantSplit/>
        </w:trPr>
        <w:tc>
          <w:tcPr>
            <w:tcW w:type="dxa" w:w="1728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Razdoblje</w:t>
            </w:r>
          </w:p>
        </w:tc>
        <w:tc>
          <w:tcPr>
            <w:tcW w:type="dxa" w:w="4608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Zadatak</w:t>
            </w:r>
          </w:p>
        </w:tc>
        <w:tc>
          <w:tcPr>
            <w:tcW w:type="dxa" w:w="3888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Izlaz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0-5 radnih dana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Zaprimiti i arhivirati sve odgovore FZOEU, DIRH, Holcim.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Hashirani source package + prva discrepancy tablica.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6-14 dana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Usporediti AMS, vage, EWC, laboratorijske analize i inspekciju.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Kronologija i zatvaranje otvorenih karika.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15-30 dana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Peer review QRA i planerskih promjena.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Neovisne tehničke primjedbe s izvorima.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31-90 dana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Pripremiti dokumentacijski paket za novu PUO/PPUO proceduru i pravne lijekove gdje je primjenjivo.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Versioned dossier 2.0 sa svim primarnim izvorima.</w:t>
            </w:r>
          </w:p>
        </w:tc>
      </w:tr>
    </w:tbl>
    <w:p/>
    <w:p>
      <w:pPr>
        <w:pStyle w:val="Heading1"/>
      </w:pPr>
      <w:r>
        <w:t>21. REGISTAR IZVORA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tblHeader w:val="true"/>
          <w:cantSplit/>
        </w:trPr>
        <w:tc>
          <w:tcPr>
            <w:tcW w:type="dxa" w:w="792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type="dxa" w:w="4320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Izvor</w:t>
            </w:r>
          </w:p>
        </w:tc>
        <w:tc>
          <w:tcPr>
            <w:tcW w:type="dxa" w:w="4968"/>
            <w:shd w:fill="DCE7EC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rPr>
                <w:b/>
              </w:rPr>
              <w:t>Status u ovom dokumentu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F1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DeepSeek AI: “Kako nadzirati proračun i okoliš: MARA, OFF i borba protiv KOdeCO Net Zero”.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AI radni materijal, sekundarni izvor.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F2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Grok AI: “Izvješće građanima Labina: Arhitektura OFFF / MARA…”.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AI radni materijal, sekundarni izvor.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F3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KIMI AI: “Izvještaj o usklađenosti i mobilizacijski dokument”.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AI radni materijal, sekundarni izvor.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F4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MARA “Forenzička disekcija SUO Lipanj 2026, I-03-1212, EKONERG za Holcim”.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Radna analiza izvornog SUO-a.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F5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Strateški Riziko-Matrix: Koromačno &amp; Raša.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Radna hipotezna matrica.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F6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Spajanje tokova materijala: Kaštijun, Pazin i Holcim.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Radna analiza tokova.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F7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Akcija Češalj, strateška forenzička analiza i unakrsno povezivanje.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Korisnički zadatak i radni korpus, s nedokazanim tvrdnjama izdvojenim.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F8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Prijateljev AI chat “Nakon ALL IN dokumenta…”.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Sekundarni prijedlog neovisne stručne skupine.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F9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SUO Dekarbonizacija tvornice cementa u Koromačnu, EKONERG I-03-1212, Lipanj 2026., 801 stranica.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Primarni tehnički izvor.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G1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https://github.com/Zeljk018Bratic/open-fiscal-forensics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Primarni izvor za stanje koda i Git povijest.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G2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https://github.com/Zeljk018Bratic/dosje-koromacno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Primarni izvor za javni dosje i dokumente.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W1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Istarska županija, obustava javne rasprave o SUO, 02.09.2026.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Primarni službeni proceduralni izvor. https://zdrava-sana.istra-istria.hr/hr/clanci/istarska-zupanija-novosti/18075/obavijest-o-obustavi-postupka-javne-rasprave-o-studiji-utjecaja-na-okolis-za-zahvat-dekarbonizacije-tvornice-cementa-u-koromacnu-kroz-izgradnju-sustava-za-hvatanje-ugljikovog-dioksida-s-ciljem-proizvodnje-ugljicno-neutralnog-cementa-opcina-rasa-istarska-z/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W2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Gradsko vijeće Labina, zaključak 22.09.2026., zaštita zdravlja i okoliša.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Sekundarni medijski prijenos uz službenu gradsku objavu sjednice. https://5portal.hr/vijesti_detalj.php?id=60413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W3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Glas Istre, zaključak Radne skupine 28.09.2026., pet radnih dana.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Aktualni medijski izvor s konkretnim sadržajem zahtjeva. https://www.glasistre.hr/istra/2026/09/28/zakljucak-radne-skupine-za-pracenje-kvalitete-zraka-u-okolici-tvornice-u-koromacnu-nadlezne-institu-1086231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W4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Mjesni odbor Koromačno, očitovanje 28.09.2026.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Aktualno lokalno očitovanje. https://5portal.hr/vijesti_detalj.php?id=60481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W5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Sastanak gradonačelnika i MO Kapelica 28.09.2026.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Aktualni lokalni medijski izvještaj. https://labinstina.info/vijesti/129716-raspravljalo-se-o-pjesackim-prijelazima-i-novom-kruznom-toku-ni-rijeci-o-nedavnoj-blokadi-ceste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W6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Izvještaji o blokadi ulaza u Holcim 28.09.2026.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Aktualni lokalni medijski izvor. https://labinstina.info/vijesti/129679-raste-napetost-u-koromacnu-prosvjednici-blokirali-tvornicu-zatvorit-cemo-spalionicu-borit-cemo-se-do-gole-koze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W7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MZOZT, Holcim Hrvatska d.o.o., okolišne dozvole.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Primarni službeni izvor. https://mzozt.gov.hr/o-ministarstvu-1065/djelokrug/uprava-za-procjenu-utjecaja-na-okolis-i-odrzivo-gospodarenje-otpadom-1271/okolisna-dozvola/okolisne-dozvole/holcim-hrvatska-d-o-o-koromacno/7234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L1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Zakon o prostornom uređenju, NN 155/2025.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Primarni pravni izvor. https://narodne-novine.nn.hr/clanci/sluzbeni/full/2025_12_155_2315.html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L2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Zakon o pravu na pristup informacijama, NN 25/2013 s izmjenama.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Primarni pravni izvor. https://narodne-novine.nn.hr/clanci/sluzbeni/2013_02_25_403.html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L3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Zakon o kaznenom postupku, pročišćeni tekst, čl. 55.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TableText"/>
            </w:pPr>
            <w:r>
              <w:t>Primarni pravni izvor za citirani mehanizam čl. 55. https://narodne-novine.nn.hr/clanci/sluzbeni/2011_10_121_2386.html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F22</w:t>
            </w:r>
          </w:p>
        </w:tc>
        <w:tc>
          <w:tcPr>
            <w:tcW w:type="dxa" w:w="3456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Korisnički dostavljeni tekst: „KOROMAČNO – Park prirode ili teška industrija“ (29.09.2026.)</w:t>
            </w:r>
          </w:p>
        </w:tc>
        <w:tc>
          <w:tcPr>
            <w:tcW w:type="dxa" w:w="3456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Sekundarni/strateški izvor. Povijesni, prostorni i komunikacijski sloj. Materijalne tvrdnje zatvoriti primarnim izvorima prije pravne uporabe.</w:t>
            </w:r>
          </w:p>
        </w:tc>
      </w:tr>
    </w:tbl>
    <w:p/>
    <w:p>
      <w:pPr>
        <w:pStyle w:val="Heading1"/>
      </w:pPr>
      <w:r>
        <w:t>22. JAVNE POVEZNICE ZA NASTAVAK REVIZIJE</w:t>
      </w:r>
    </w:p>
    <w:p>
      <w:pPr>
        <w:pStyle w:val="Body"/>
      </w:pPr>
      <w:r>
        <w:t xml:space="preserve">OFFF GitHub: </w:t>
      </w:r>
      <w:hyperlink r:id="rId11">
        <w:r>
          <w:rPr>
            <w:color w:val="1A5E88"/>
            <w:u w:val="single"/>
          </w:rPr>
          <w:t>https://github.com/Zeljk018Bratic/open-fiscal-forensics</w:t>
        </w:r>
      </w:hyperlink>
    </w:p>
    <w:p>
      <w:pPr>
        <w:pStyle w:val="Body"/>
      </w:pPr>
      <w:r>
        <w:t xml:space="preserve">Koromačno dosje GitHub: </w:t>
      </w:r>
      <w:hyperlink r:id="rId12">
        <w:r>
          <w:rPr>
            <w:color w:val="1A5E88"/>
            <w:u w:val="single"/>
          </w:rPr>
          <w:t>https://github.com/Zeljk018Bratic/dosje-koromacno</w:t>
        </w:r>
      </w:hyperlink>
    </w:p>
    <w:p>
      <w:pPr>
        <w:pStyle w:val="Body"/>
      </w:pPr>
      <w:r>
        <w:t xml:space="preserve">Interaktivni dosje: </w:t>
      </w:r>
      <w:hyperlink r:id="rId13">
        <w:r>
          <w:rPr>
            <w:color w:val="1A5E88"/>
            <w:u w:val="single"/>
          </w:rPr>
          <w:t>https://zeljk018bratic.github.io/dosje-koromacno/</w:t>
        </w:r>
      </w:hyperlink>
    </w:p>
    <w:p>
      <w:pPr>
        <w:pStyle w:val="Body"/>
      </w:pPr>
      <w:r>
        <w:t xml:space="preserve">Transparentor, korisnički naveden endpoint: </w:t>
      </w:r>
      <w:hyperlink r:id="rId14">
        <w:r>
          <w:rPr>
            <w:color w:val="1A5E88"/>
            <w:u w:val="single"/>
          </w:rPr>
          <w:t>https://transparentor.org</w:t>
        </w:r>
      </w:hyperlink>
    </w:p>
    <w:p>
      <w:pPr>
        <w:pStyle w:val="Body"/>
      </w:pPr>
      <w:r>
        <w:t xml:space="preserve">Transparentor API dokumentacija, korisnički naveden URL: </w:t>
      </w:r>
      <w:hyperlink r:id="rId15">
        <w:r>
          <w:rPr>
            <w:color w:val="1A5E88"/>
            <w:u w:val="single"/>
          </w:rPr>
          <w:t>https://transparentor.orgapi-dokumentacija</w:t>
        </w:r>
      </w:hyperlink>
    </w:p>
    <w:p>
      <w:pPr>
        <w:pStyle w:val="Body"/>
      </w:pPr>
      <w:r>
        <w:t xml:space="preserve">Zatraži API ključ, korisnički naveden URL: </w:t>
      </w:r>
      <w:hyperlink r:id="rId16">
        <w:r>
          <w:rPr>
            <w:color w:val="1A5E88"/>
            <w:u w:val="single"/>
          </w:rPr>
          <w:t>https://transparentor.orgzatrazi-api-kljuc</w:t>
        </w:r>
      </w:hyperlink>
    </w:p>
    <w:p>
      <w:pPr>
        <w:pStyle w:val="Body"/>
      </w:pPr>
      <w:r>
        <w:t>Napomena o Google Docs/Drive poveznicama: one su dostavljene kao linkovi, ali sadržaj tih linkova nije bio pouzdano dohvatljiv kroz dostupni konektor u ovoj provjeri. Zato nisu korištene kao potvrđeni primarni izvori. Ako se kasnije pribave njihove datoteke, treba ih uvesti kao zasebne verzije u evidence vault, bez zamjene za već potvrđene primarne izvore.</w:t>
      </w:r>
    </w:p>
    <w:p>
      <w:pPr>
        <w:pStyle w:val="Heading1"/>
        <w:pageBreakBefore/>
      </w:pPr>
      <w:r>
        <w:rPr>
          <w:b w:val="0"/>
        </w:rPr>
        <w:t>23. STRATEŠKI DODATAK: KOROMAČNO 1922–2045 I PITANJE UBAŠA</w:t>
      </w:r>
    </w:p>
    <w:p>
      <w:pPr>
        <w:pStyle w:val="Body"/>
        <w:pageBreakBefore w:val="0"/>
      </w:pPr>
      <w:r>
        <w:rPr>
          <w:b w:val="0"/>
        </w:rPr>
        <w:t>Novi korisnički dostavljeni tekst „KOROMAČNO – Park prirode ili teška industrija“ uvodi povijesno-prostorni sloj koji u ranijem ALL-IN-u nije bio dovoljno razvijen. Povezuje industrijsku povijest Koromačna, promjene vlasništva, sadašnji KOdeCO kontekst i pitanje buduće namjene prostora. Zbog razine izvornosti, materijalne tvrdnje iz tog teksta ovdje se vode kao zaseban izvor i ne pretvaraju se automatski u činjenice.</w:t>
      </w:r>
    </w:p>
    <w:p>
      <w:pPr>
        <w:pStyle w:val="Heading2"/>
        <w:pageBreakBefore w:val="0"/>
      </w:pPr>
      <w:r>
        <w:rPr>
          <w:b w:val="0"/>
        </w:rPr>
        <w:t>23.1 Povijesna linija cementare</w:t>
      </w:r>
    </w:p>
    <w:p>
      <w:pPr>
        <w:pStyle w:val="Body"/>
        <w:pageBreakBefore w:val="0"/>
      </w:pPr>
      <w:r>
        <w:rPr>
          <w:b w:val="0"/>
        </w:rPr>
        <w:t>Dostavljeni tekst navodi početak izgradnje 1922. godine, početak rada 1926., razvoj proizvodnje tijekom 1928.–1931., radničko naselje Valmazzinghi, modernizaciju 1971. i uključivanje u SOUR Istarske tvornice cementa i hidratiziranog vapna 1980. godine. Ovaj dio treba voditi kao povijesni korpus koji se potvrđuje arhivskim i industrijsko-povijesnim izvorima. Povijesna činjenica da je industrija postojala ne rješava današnji pravni i okolišni status budućih zahvata.</w:t>
      </w:r>
    </w:p>
    <w:p>
      <w:pPr>
        <w:pStyle w:val="Heading2"/>
        <w:pageBreakBefore w:val="0"/>
      </w:pPr>
      <w:r>
        <w:rPr>
          <w:b w:val="0"/>
        </w:rPr>
        <w:t>23.2 Privatizacija i vlasnički lanac</w:t>
      </w:r>
    </w:p>
    <w:p>
      <w:pPr>
        <w:pStyle w:val="Body"/>
        <w:pageBreakBefore w:val="0"/>
      </w:pPr>
      <w:r>
        <w:rPr>
          <w:b w:val="0"/>
        </w:rPr>
        <w:t>Novi tekst navodi više konkretnih podataka iz privatizacije početkom 1990-ih: procjenu od 55 milijuna DEM, dokapitalizaciju od 108,43 milijuna DEM, transakciju dionica Hrvatskog mirovinskog osiguranja u iznosu 8.551.805 DEM, ulogu Jakše Barbića i njegovu kasniju funkciju u nadzornom odboru Holcima. Ovi navodi imaju visoku dokaznu vrijednost samo ako se svaki broj i svaka funkcija vežu uz konkretan privatizacijski elaborat, odluku, prospekt, vlasnički registar, godišnje izvješće, zapisnik ili drugi primarni dokument. Ne smije se iz same vremenske ili poslovne povezanosti izvlačiti zaključak o protupravnosti ili sukobu interesa.</w:t>
      </w:r>
    </w:p>
    <w:p>
      <w:pPr>
        <w:pStyle w:val="Heading2"/>
        <w:pageBreakBefore w:val="0"/>
      </w:pPr>
      <w:r>
        <w:rPr>
          <w:b w:val="0"/>
        </w:rPr>
        <w:t>23.3 KOdeCO Net Zero kao sadašnji sloj</w:t>
      </w:r>
    </w:p>
    <w:p>
      <w:pPr>
        <w:pStyle w:val="Body"/>
        <w:pageBreakBefore w:val="0"/>
      </w:pPr>
      <w:r>
        <w:rPr>
          <w:b w:val="0"/>
        </w:rPr>
        <w:t>Dostavljeni tekst ponovno ističe vrijednost projekta KOdeCO Net Zero, potporu iz EU Inovacijskog fonda i cilj hvatanja i trajnog skladištenja CO₂. U ovom dosjeu primarni tehnički okvir ostaje izvorna SUO EKONERG I-03-1212, zajedno s njezinim parametrima, QRA scenarijima, transportom i prostorno-planskim postupcima. Novi tekst zato dopunjuje postojeći tehnički korpus, a ne zamjenjuje ga.</w:t>
      </w:r>
    </w:p>
    <w:p>
      <w:pPr>
        <w:pStyle w:val="Heading2"/>
        <w:pageBreakBefore w:val="0"/>
      </w:pPr>
      <w:r>
        <w:rPr>
          <w:b w:val="0"/>
        </w:rPr>
        <w:t>23.4 Ubaš: prostorna zaštita kao zasebno pitanje</w:t>
      </w:r>
    </w:p>
    <w:p>
      <w:pPr>
        <w:pStyle w:val="Body"/>
        <w:pageBreakBefore w:val="0"/>
      </w:pPr>
      <w:r>
        <w:rPr>
          <w:b w:val="0"/>
        </w:rPr>
        <w:t>Novi tekst otvara pitanje Ubaša kao prirodnog i prostornog prostora koji bi mogao biti predmet snažnijeg režima zaštite, uključujući raspravu o mogućnosti proglašenja Parka prirode. Za neovisni dosje treba prvo utvrditi današnji službeni režim zaštite, granice, planske oznake, vlasničko-katastarski status i stručne podloge o prirodnim vrijednostima. Tek nakon toga može se procijeniti pravni učinak bilo kojeg novog režima zaštite na postojeće i buduće zahvate.</w:t>
      </w:r>
    </w:p>
    <w:p>
      <w:pPr>
        <w:pStyle w:val="Body"/>
        <w:pageBreakBefore w:val="0"/>
      </w:pPr>
      <w:r>
        <w:rPr>
          <w:b w:val="0"/>
        </w:rPr>
        <w:t>Za ovaj predmet treba razdvojiti četiri mape dokaza: službeni registar zaštite prirode, prostorni planovi, katastarsko-vlasnička dokumentacija i stručne podloge o bioraznolikosti, krajobrazu i geologiji. Sama oznaka Natura 2000 ili prijedlog Parka prirode ne treba se koristiti kao zamjena za provjeru konkretnih granica i konkretnih pravnih učinaka.</w:t>
      </w:r>
    </w:p>
    <w:p>
      <w:pPr>
        <w:pStyle w:val="Heading2"/>
        <w:pageBreakBefore w:val="0"/>
      </w:pPr>
      <w:r>
        <w:rPr>
          <w:b w:val="0"/>
        </w:rPr>
        <w:t>23.5 Dokazna matrica novog izvora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tblHeader w:val="true"/>
          <w:cantSplit/>
        </w:trPr>
        <w:tc>
          <w:tcPr>
            <w:tcW w:type="dxa" w:w="2041"/>
            <w:vAlign w:val="top"/>
            <w:shd w:fill="D9EAF7"/>
          </w:tcPr>
          <w:p>
            <w:pPr>
              <w:pStyle w:val="Body"/>
            </w:pPr>
            <w:r/>
            <w:r>
              <w:rPr>
                <w:b/>
              </w:rPr>
              <w:t>Tema</w:t>
            </w:r>
          </w:p>
        </w:tc>
        <w:tc>
          <w:tcPr>
            <w:tcW w:type="dxa" w:w="1757"/>
            <w:vAlign w:val="top"/>
            <w:shd w:fill="D9EAF7"/>
          </w:tcPr>
          <w:p>
            <w:pPr>
              <w:pStyle w:val="Body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pStyle w:val="Body"/>
            </w:pPr>
            <w:r/>
            <w:r>
              <w:rPr>
                <w:b/>
              </w:rPr>
              <w:t>Što trenutno imamo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pStyle w:val="Body"/>
            </w:pPr>
            <w:r/>
            <w:r>
              <w:rPr>
                <w:b/>
              </w:rPr>
              <w:t>Što treba zatvoriti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Početak gradnje 1922. / rad 1926.</w:t>
            </w:r>
          </w:p>
        </w:tc>
        <w:tc>
          <w:tcPr>
            <w:tcW w:type="dxa" w:w="1757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DOKUMENTIRANA TVRDNJA</w:t>
            </w:r>
          </w:p>
        </w:tc>
        <w:tc>
          <w:tcPr>
            <w:tcW w:type="dxa" w:w="3402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Novi tekst iznosi kronologiju S.P.E.M.A.</w:t>
            </w:r>
          </w:p>
        </w:tc>
        <w:tc>
          <w:tcPr>
            <w:tcW w:type="dxa" w:w="2268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Arhivski/industrijski primarni izvor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Proizvodnja 1928.–1931.</w:t>
            </w:r>
          </w:p>
        </w:tc>
        <w:tc>
          <w:tcPr>
            <w:tcW w:type="dxa" w:w="1757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DOKUMENTIRANA TVRDNJA</w:t>
            </w:r>
          </w:p>
        </w:tc>
        <w:tc>
          <w:tcPr>
            <w:tcW w:type="dxa" w:w="3402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Navedene količine i broj radnika</w:t>
            </w:r>
          </w:p>
        </w:tc>
        <w:tc>
          <w:tcPr>
            <w:tcW w:type="dxa" w:w="2268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Izvorni industrijski izvještaj ili arhivski zapis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Valmazzinghi i industrijsko naselje</w:t>
            </w:r>
          </w:p>
        </w:tc>
        <w:tc>
          <w:tcPr>
            <w:tcW w:type="dxa" w:w="1757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DOKUMENTIRANA TVRDNJA</w:t>
            </w:r>
          </w:p>
        </w:tc>
        <w:tc>
          <w:tcPr>
            <w:tcW w:type="dxa" w:w="3402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Opis radničkog naselja uz tvornicu</w:t>
            </w:r>
          </w:p>
        </w:tc>
        <w:tc>
          <w:tcPr>
            <w:tcW w:type="dxa" w:w="2268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Povijesni plan, katastar ili arhivska dokumentacija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Fašistički almanah 1936.</w:t>
            </w:r>
          </w:p>
        </w:tc>
        <w:tc>
          <w:tcPr>
            <w:tcW w:type="dxa" w:w="1757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DOKUMENTIRANA TVRDNJA</w:t>
            </w:r>
          </w:p>
        </w:tc>
        <w:tc>
          <w:tcPr>
            <w:tcW w:type="dxa" w:w="3402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Navedena publikacija „Le Opere del Regime in Istria“</w:t>
            </w:r>
          </w:p>
        </w:tc>
        <w:tc>
          <w:tcPr>
            <w:tcW w:type="dxa" w:w="2268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Digitalni/originalni primjerak publikacije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Modernizacija 1971. i SOUR 1980.</w:t>
            </w:r>
          </w:p>
        </w:tc>
        <w:tc>
          <w:tcPr>
            <w:tcW w:type="dxa" w:w="1757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DOKUMENTIRANA TVRDNJA</w:t>
            </w:r>
          </w:p>
        </w:tc>
        <w:tc>
          <w:tcPr>
            <w:tcW w:type="dxa" w:w="3402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Navodi o modernizaciji i organizacijskom uključenju</w:t>
            </w:r>
          </w:p>
        </w:tc>
        <w:tc>
          <w:tcPr>
            <w:tcW w:type="dxa" w:w="2268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Industrijska kronika, odluke i organizacijski akti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Procjena 55 mil. DEM</w:t>
            </w:r>
          </w:p>
        </w:tc>
        <w:tc>
          <w:tcPr>
            <w:tcW w:type="dxa" w:w="1757"/>
            <w:vAlign w:val="top"/>
            <w:shd w:fill="FFF2CC"/>
          </w:tcPr>
          <w:p>
            <w:pPr>
              <w:pStyle w:val="Body"/>
            </w:pPr>
            <w:r/>
            <w:r>
              <w:rPr>
                <w:b w:val="0"/>
              </w:rPr>
              <w:t>OTVORENO</w:t>
            </w:r>
          </w:p>
        </w:tc>
        <w:tc>
          <w:tcPr>
            <w:tcW w:type="dxa" w:w="3402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Brojka iz novog korisničkog teksta</w:t>
            </w:r>
          </w:p>
        </w:tc>
        <w:tc>
          <w:tcPr>
            <w:tcW w:type="dxa" w:w="2268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Privatizacijski elaborat i odluka o procjeni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Dokapitalizacija 108,43 mil. DEM</w:t>
            </w:r>
          </w:p>
        </w:tc>
        <w:tc>
          <w:tcPr>
            <w:tcW w:type="dxa" w:w="1757"/>
            <w:vAlign w:val="top"/>
            <w:shd w:fill="FFF2CC"/>
          </w:tcPr>
          <w:p>
            <w:pPr>
              <w:pStyle w:val="Body"/>
            </w:pPr>
            <w:r/>
            <w:r>
              <w:rPr>
                <w:b w:val="0"/>
              </w:rPr>
              <w:t>OTVORENO</w:t>
            </w:r>
          </w:p>
        </w:tc>
        <w:tc>
          <w:tcPr>
            <w:tcW w:type="dxa" w:w="3402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Brojka iz novog korisničkog teksta</w:t>
            </w:r>
          </w:p>
        </w:tc>
        <w:tc>
          <w:tcPr>
            <w:tcW w:type="dxa" w:w="2268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Dionice, dokapitalizacijski ugovori i financijski trag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Transakcija 8.551.805 DEM</w:t>
            </w:r>
          </w:p>
        </w:tc>
        <w:tc>
          <w:tcPr>
            <w:tcW w:type="dxa" w:w="1757"/>
            <w:vAlign w:val="top"/>
            <w:shd w:fill="FFF2CC"/>
          </w:tcPr>
          <w:p>
            <w:pPr>
              <w:pStyle w:val="Body"/>
            </w:pPr>
            <w:r/>
            <w:r>
              <w:rPr>
                <w:b w:val="0"/>
              </w:rPr>
              <w:t>OTVORENO</w:t>
            </w:r>
          </w:p>
        </w:tc>
        <w:tc>
          <w:tcPr>
            <w:tcW w:type="dxa" w:w="3402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Navod o dionicama Hrvatskog mirovinskog osiguranja</w:t>
            </w:r>
          </w:p>
        </w:tc>
        <w:tc>
          <w:tcPr>
            <w:tcW w:type="dxa" w:w="2268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Izvorni vlasnički/financijski dokument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Barbić i funkcije u Holcimu</w:t>
            </w:r>
          </w:p>
        </w:tc>
        <w:tc>
          <w:tcPr>
            <w:tcW w:type="dxa" w:w="1757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DOKUMENTIRANA TVRDNJA / OTVORENO PO SEGMENTIMA</w:t>
            </w:r>
          </w:p>
        </w:tc>
        <w:tc>
          <w:tcPr>
            <w:tcW w:type="dxa" w:w="3402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Navodi o funkciji i korporativnim ulogama</w:t>
            </w:r>
          </w:p>
        </w:tc>
        <w:tc>
          <w:tcPr>
            <w:tcW w:type="dxa" w:w="2268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Godišnja izvješća, registri i odluke NO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KOdeCO 116,9 mil. € / 237 mil. €</w:t>
            </w:r>
          </w:p>
        </w:tc>
        <w:tc>
          <w:tcPr>
            <w:tcW w:type="dxa" w:w="1757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DOKUMENTIRANO U PROJEKTNOM KORPUSU</w:t>
            </w:r>
          </w:p>
        </w:tc>
        <w:tc>
          <w:tcPr>
            <w:tcW w:type="dxa" w:w="3402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SUO + postojeći projektni materijali</w:t>
            </w:r>
          </w:p>
        </w:tc>
        <w:tc>
          <w:tcPr>
            <w:tcW w:type="dxa" w:w="2268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Za javni navod vezati točan primarni dokument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Ubaš i sadašnji režim zaštite</w:t>
            </w:r>
          </w:p>
        </w:tc>
        <w:tc>
          <w:tcPr>
            <w:tcW w:type="dxa" w:w="1757"/>
            <w:vAlign w:val="top"/>
            <w:shd w:fill="FFF2CC"/>
          </w:tcPr>
          <w:p>
            <w:pPr>
              <w:pStyle w:val="Body"/>
            </w:pPr>
            <w:r/>
            <w:r>
              <w:rPr>
                <w:b w:val="0"/>
              </w:rPr>
              <w:t>OTVORENO ZA DODATNU PROVJERU</w:t>
            </w:r>
          </w:p>
        </w:tc>
        <w:tc>
          <w:tcPr>
            <w:tcW w:type="dxa" w:w="3402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Novi tekst navodi Natura 2000 i šumski režim</w:t>
            </w:r>
          </w:p>
        </w:tc>
        <w:tc>
          <w:tcPr>
            <w:tcW w:type="dxa" w:w="2268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Službeni registar, karte, PPUO, katastar i stručne podloge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Mogući budući Park prirode Ubaš</w:t>
            </w:r>
          </w:p>
        </w:tc>
        <w:tc>
          <w:tcPr>
            <w:tcW w:type="dxa" w:w="1757"/>
            <w:vAlign w:val="top"/>
            <w:shd w:fill="FFF2CC"/>
          </w:tcPr>
          <w:p>
            <w:pPr>
              <w:pStyle w:val="Body"/>
            </w:pPr>
            <w:r/>
            <w:r>
              <w:rPr>
                <w:b w:val="0"/>
              </w:rPr>
              <w:t>HIPOTEZA / JAVNO-POLITIČKI PRIJEDLOG</w:t>
            </w:r>
          </w:p>
        </w:tc>
        <w:tc>
          <w:tcPr>
            <w:tcW w:type="dxa" w:w="3402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Novi tekst otvara mogućnost rasprave</w:t>
            </w:r>
          </w:p>
        </w:tc>
        <w:tc>
          <w:tcPr>
            <w:tcW w:type="dxa" w:w="2268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Studija vrijednosti, granice, pravni model i javna procedura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Predviđanja o budućem razvoju prostora</w:t>
            </w:r>
          </w:p>
        </w:tc>
        <w:tc>
          <w:tcPr>
            <w:tcW w:type="dxa" w:w="1757"/>
            <w:vAlign w:val="top"/>
            <w:shd w:fill="FFF2CC"/>
          </w:tcPr>
          <w:p>
            <w:pPr>
              <w:pStyle w:val="Body"/>
            </w:pPr>
            <w:r/>
            <w:r>
              <w:rPr>
                <w:b w:val="0"/>
              </w:rPr>
              <w:t>HIPOTEZA</w:t>
            </w:r>
          </w:p>
        </w:tc>
        <w:tc>
          <w:tcPr>
            <w:tcW w:type="dxa" w:w="3402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Novi tekst spominje više mogućih scenarija</w:t>
            </w:r>
          </w:p>
        </w:tc>
        <w:tc>
          <w:tcPr>
            <w:tcW w:type="dxa" w:w="2268"/>
            <w:vAlign w:val="top"/>
          </w:tcPr>
          <w:p>
            <w:pPr>
              <w:pStyle w:val="Body"/>
            </w:pPr>
            <w:r/>
            <w:r>
              <w:rPr>
                <w:b w:val="0"/>
              </w:rPr>
              <w:t>Odvojene scenarijske studije i službeni planski akti</w:t>
            </w:r>
          </w:p>
        </w:tc>
      </w:tr>
    </w:tbl>
    <w:p>
      <w:pPr>
        <w:pStyle w:val="Heading2"/>
        <w:pageBreakBefore w:val="0"/>
      </w:pPr>
      <w:r>
        <w:rPr>
          <w:b w:val="0"/>
        </w:rPr>
        <w:t>23.6 Što ovaj dodatak mijenja u ALL-IN dokaznoj logici</w:t>
      </w:r>
    </w:p>
    <w:p>
      <w:pPr>
        <w:pStyle w:val="Body"/>
        <w:pageBreakBefore w:val="0"/>
      </w:pPr>
      <w:r>
        <w:rPr>
          <w:b w:val="0"/>
        </w:rPr>
        <w:t>Ovaj novi sloj ne dokazuje sam po sebi nezakonitost privatizacije, kaznenu odgovornost bilo koje osobe, buduće produženje eksploatacije niti uzročnu vezu između povijesnih vlasničkih odluka i današnjeg KOdeCO projekta. Njegova vrijednost je u vremenskoj osi: industrijska povijest → vlasničke promjene → današnji okolišni i prostorni postupci → buduće pitanje namjene prostora.</w:t>
      </w:r>
    </w:p>
    <w:p>
      <w:pPr>
        <w:pStyle w:val="Body"/>
        <w:pageBreakBefore w:val="0"/>
      </w:pPr>
      <w:r>
        <w:rPr>
          <w:b w:val="0"/>
        </w:rPr>
        <w:t>Za javnu komunikaciju naslov „Park prirode ili teška industrija“ može služiti kao pitanje o budućem modelu prostora. Za pravni i forenzički dio precizniji oblik je: „Koji službeni režim zaštite, prostorni plan i dokazivi kriteriji trebaju odrediti buduću namjenu područja Ubaša i Koromačna?“</w:t>
      </w:r>
    </w:p>
    <w:p>
      <w:pPr>
        <w:pStyle w:val="Heading1"/>
        <w:pageBreakBefore/>
      </w:pPr>
      <w:r>
        <w:t>24. ZAVRŠNI NEOVISNI ZAKLJUČAK</w:t>
      </w:r>
    </w:p>
    <w:p>
      <w:pPr>
        <w:pStyle w:val="Body"/>
      </w:pPr>
      <w:r>
        <w:t>Projekt MARA/OFFF ima stvarnu vrijednost kao građanska infrastruktura za prikupljanje, normalizaciju, dokumentiranje i uspoređivanje javnih podataka. Nakon zadnjeg tehničkog ciklusa jezgra ima snažniji integritetni sloj: SHA-256 hashiranje datoteke, stvarni hash-chain, korigirani Benfordov izračun, testove integriteta, prošireni provenance manifest i sigurnosnu provjeru konfigurirane P2P tajne.</w:t>
      </w:r>
    </w:p>
    <w:p>
      <w:pPr>
        <w:pStyle w:val="Body"/>
      </w:pPr>
      <w:r>
        <w:t>Najvažniji rezultat ove revizije nije nova politička interpretacija. To je razdvajanje četiri razine koje se moraju čitati odvojeno: tehnička funkcionalnost alata, vjerodostojnost izvora, pravni proces i javna komunikacija. Dodatak o povijesti Koromačna i Ubašu pokazuje da se i povijesni, vlasnički i prostorni navodi moraju voditi istim dokaznim standardom.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EAF1F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Body"/>
            </w:pPr>
            <w:r>
              <w:rPr>
                <w:b/>
                <w:color w:val="173C4D"/>
              </w:rPr>
              <w:t>Ako želite ozbiljan dosje koji Grad, inspekcija, Ministarstvo ili DORH ne mogu lako odbaciti kao “internetsku priču”, standard treba biti jednostavan: manje velikih riječi, više originalnih dokumenata, hashova, vremenskih oznaka, sirovih podataka, neovisnih mjerenja i precizno formuliranih pitanja.</w:t>
            </w:r>
          </w:p>
        </w:tc>
      </w:tr>
    </w:tbl>
    <w:p/>
    <w:p>
      <w:pPr>
        <w:pStyle w:val="Body"/>
      </w:pPr>
      <w:r>
        <w:t>Ovaj završni dokument ne daje politički poredak kandidata, institucija, prosvjeda ili razvojnih modela. Daje dokazni okvir. Za svaki sporni navod konačni standard ostaje isti: izvor → identitet dokumenta → datum → hash → sadržaj → procesna važnost → neovisna provjera. Tamo gdje karika nedostaje, status ostaje OTVORENO.</w:t>
      </w:r>
    </w:p>
    <w:p>
      <w:pPr>
        <w:pStyle w:val="Body"/>
      </w:pPr>
      <w:r>
        <w:rPr>
          <w:b/>
        </w:rPr>
        <w:t>VERZIJA DOKUMENTA: V2 · 29.09.2026. · aktualiziran OFFF status + dodan strateško-povijesni blok Koromačno/Ubaš.</w:t>
      </w:r>
    </w:p>
    <w:sectPr w:rsidR="00FC693F" w:rsidRPr="0006063C" w:rsidSect="00034616"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08A"/>
        <w:sz w:val="14"/>
      </w:rPr>
      <w:t xml:space="preserve">Stranica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1808A"/>
        <w:sz w:val="14"/>
      </w:rPr>
      <w:t>MARA / OFFF · LABIN · KOROMAČNO · RAŠA · 29.09.2026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F43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B55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3B66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73C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00" w:line="259" w:lineRule="auto"/>
    </w:pPr>
    <w:rPr>
      <w:rFonts w:ascii="DejaVu Sans" w:hAnsi="DejaVu Sans"/>
      <w:sz w:val="18"/>
    </w:rPr>
  </w:style>
  <w:style w:type="paragraph" w:customStyle="1" w:styleId="Small">
    <w:name w:val="Small"/>
    <w:rPr>
      <w:rFonts w:ascii="DejaVu Sans" w:hAnsi="DejaVu Sans"/>
      <w:color w:val="505A61"/>
      <w:sz w:val="14"/>
    </w:rPr>
  </w:style>
  <w:style w:type="paragraph" w:customStyle="1" w:styleId="TableText">
    <w:name w:val="TableText"/>
    <w:pPr>
      <w:spacing w:after="0" w:line="240" w:lineRule="auto"/>
    </w:pPr>
    <w:rPr>
      <w:rFonts w:ascii="DejaVu Sans" w:hAnsi="DejaVu Sans"/>
      <w:sz w:val="14"/>
    </w:rPr>
  </w:style>
  <w:style w:type="paragraph" w:customStyle="1" w:styleId="Code">
    <w:name w:val="Code"/>
    <w:pPr>
      <w:spacing w:after="0" w:line="240" w:lineRule="auto"/>
    </w:pPr>
    <w:rPr>
      <w:rFonts w:ascii="DejaVu Sans Mono" w:hAnsi="DejaVu Sans Mon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Zeljk018Bratic/open-fiscal-forensics" TargetMode="External"/><Relationship Id="rId12" Type="http://schemas.openxmlformats.org/officeDocument/2006/relationships/hyperlink" Target="https://github.com/Zeljk018Bratic/dosje-koromacno" TargetMode="External"/><Relationship Id="rId13" Type="http://schemas.openxmlformats.org/officeDocument/2006/relationships/hyperlink" Target="https://zeljk018bratic.github.io/dosje-koromacno/" TargetMode="External"/><Relationship Id="rId14" Type="http://schemas.openxmlformats.org/officeDocument/2006/relationships/hyperlink" Target="https://transparentor.org" TargetMode="External"/><Relationship Id="rId15" Type="http://schemas.openxmlformats.org/officeDocument/2006/relationships/hyperlink" Target="https://transparentor.orgapi-dokumentacija" TargetMode="External"/><Relationship Id="rId16" Type="http://schemas.openxmlformats.org/officeDocument/2006/relationships/hyperlink" Target="https://transparentor.orgzatrazi-api-klju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MARA / OFFF - Završni neovisni forenzički dosje 29-09-2026</dc:title>
  <dc:subject>Labin - Koromačno - Raša</dc:subject>
  <dc:creator>MARA / OFFF</dc:creator>
  <cp:keywords>MARA, OFFF, Labin, Koromačno, Raša, KOdeCO, Holcim, forenzika, ZPPI, SUO, proračun, otpad</cp:keywords>
  <dc:description>Konsolidirana neovisna provjera dostavljenih izvora, GitHub repozitorija, SUO EKONERG i javnih institucionalnih izvora.</dc:description>
  <cp:lastModifiedBy>MARA / OFFF</cp:lastModifiedBy>
  <cp:revision>1</cp:revision>
  <dcterms:created xsi:type="dcterms:W3CDTF">2013-12-23T23:15:00Z</dcterms:created>
  <dcterms:modified xsi:type="dcterms:W3CDTF">2013-12-23T23:15:00Z</dcterms:modified>
  <cp:category/>
</cp:coreProperties>
</file>