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center"/>
      </w:pPr>
      <w:r>
        <w:rPr>
          <w:rFonts w:ascii="Arial" w:hAnsi="Arial"/>
          <w:b/>
          <w:sz w:val="36"/>
        </w:rPr>
        <w:t>UMC 2026</w:t>
      </w:r>
    </w:p>
    <w:p>
      <w:pPr>
        <w:widowControl/>
        <w:spacing w:before="900"/>
        <w:jc w:val="center"/>
      </w:pPr>
      <w:r>
        <w:rPr>
          <w:rFonts w:ascii="Arial" w:hAnsi="Arial"/>
          <w:b/>
          <w:sz w:val="54"/>
        </w:rPr>
        <w:t>HEMO CONNECT</w:t>
      </w:r>
    </w:p>
    <w:p>
      <w:pPr>
        <w:widowControl/>
        <w:jc w:val="center"/>
      </w:pPr>
      <w:r>
        <w:rPr>
          <w:rFonts w:ascii="Arial" w:hAnsi="Arial"/>
          <w:sz w:val="30"/>
        </w:rPr>
        <w:t>Documentação de Autenticação e Gestão de Credenciais</w:t>
      </w:r>
    </w:p>
    <w:p>
      <w:pPr>
        <w:widowControl/>
        <w:spacing w:before="700"/>
        <w:jc w:val="center"/>
      </w:pPr>
      <w:r>
        <w:rPr>
          <w:rFonts w:ascii="Arial" w:hAnsi="Arial"/>
          <w:b/>
          <w:sz w:val="22"/>
        </w:rPr>
        <w:t>Estudantes</w:t>
      </w:r>
    </w:p>
    <w:p>
      <w:pPr>
        <w:widowControl/>
        <w:jc w:val="center"/>
      </w:pPr>
      <w:r>
        <w:rPr>
          <w:rFonts w:ascii="Arial" w:hAnsi="Arial"/>
          <w:sz w:val="22"/>
        </w:rPr>
        <w:t>Marcos Zeller</w:t>
      </w:r>
    </w:p>
    <w:p>
      <w:pPr>
        <w:widowControl/>
        <w:jc w:val="center"/>
      </w:pPr>
      <w:r>
        <w:rPr>
          <w:rFonts w:ascii="Arial" w:hAnsi="Arial"/>
          <w:sz w:val="22"/>
        </w:rPr>
        <w:t>Willian Donizetti</w:t>
      </w:r>
    </w:p>
    <w:p>
      <w:pPr>
        <w:widowControl/>
        <w:spacing w:before="700"/>
        <w:jc w:val="center"/>
      </w:pPr>
      <w:r>
        <w:rPr>
          <w:rFonts w:ascii="Arial" w:hAnsi="Arial"/>
          <w:sz w:val="22"/>
        </w:rPr>
        <w:t>29 de agosto de 2026</w:t>
      </w:r>
    </w:p>
    <w:p>
      <w:pPr>
        <w:widowControl/>
        <w:spacing w:before="1000"/>
        <w:jc w:val="center"/>
      </w:pPr>
      <w:r>
        <w:rPr>
          <w:rFonts w:ascii="Arial" w:hAnsi="Arial"/>
          <w:sz w:val="20"/>
        </w:rPr>
        <w:t>Projeto acadêmico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Contexto da entrega</w:t>
      </w:r>
    </w:p>
    <w:p>
      <w:pPr>
        <w:widowControl/>
      </w:pPr>
      <w:r>
        <w:t>Este documento apresenta a implementação, as justificativas técnicas e as evidências funcionais dos requisitos de Autenticação e Gestão de Credenciais do Hemo Connect. O material foi estruturado a partir do Markdown de requisitos do projeto e das evidências fornecidas do frontend.</w:t>
      </w:r>
    </w:p>
    <w:p>
      <w:pPr>
        <w:widowControl/>
      </w:pPr>
      <w:r>
        <w:t>O objetivo é registrar de forma clara como cada item do checklist foi tratado, quais comportamentos podem ser observados na aplicação e quais decisões ficam apoiadas pela implementação técnica.</w:t>
      </w:r>
    </w:p>
    <w:p>
      <w:pPr>
        <w:widowControl/>
      </w:pPr>
      <w:r>
        <w:t>O fluxo principal documentado é: autenticação primária por e-mail e senha → validação com hash seguro → segundo fator por e-mail → criação/validação de sessão → uso da aplicação → expiração ou logout.</w:t>
      </w:r>
    </w:p>
    <w:p>
      <w:pPr>
        <w:pStyle w:val="Heading1"/>
        <w:widowControl/>
      </w:pPr>
      <w:r>
        <w:t>2. Visão geral do fluxo de autenticação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7E7"/>
          </w:tcPr>
          <w:p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type="dxa" w:w="3324"/>
            <w:shd w:fill="E7E7E7"/>
          </w:tcPr>
          <w:p>
            <w:r>
              <w:rPr>
                <w:rFonts w:ascii="Arial" w:hAnsi="Arial"/>
                <w:b/>
                <w:sz w:val="18"/>
              </w:rPr>
              <w:t>Componente</w:t>
            </w:r>
          </w:p>
        </w:tc>
        <w:tc>
          <w:tcPr>
            <w:tcW w:type="dxa" w:w="3324"/>
            <w:shd w:fill="E7E7E7"/>
          </w:tcPr>
          <w:p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Login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Usuário informa e-mail e senha.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Credencial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Backend valida a senha utilizando o hash armazenado.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2FA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Após a senha correta, um código de verificação é enviado ao e-mail.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Validação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Usuário informa o código no frontend e o backend valida.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Sessão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A aplicação mantém a autenticação até expiração ou logout.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Proteção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8"/>
              </w:rPr>
              <w:t>Tentativas inválidas são controladas e podem causar bloqueio temporário.</w:t>
            </w:r>
          </w:p>
        </w:tc>
      </w:tr>
    </w:tbl>
    <w:p>
      <w:pPr>
        <w:pStyle w:val="Callout"/>
        <w:widowControl/>
      </w:pPr>
      <w:r>
        <w:t>As evidências do frontend confirmam especialmente as etapas de login, 2FA, envio do código, acesso após autenticação, expiração de sessão e bloqueio por força bruta.</w:t>
      </w:r>
    </w:p>
    <w:p>
      <w:pPr>
        <w:pStyle w:val="Heading1"/>
        <w:widowControl/>
      </w:pPr>
      <w:r>
        <w:t>3. Requisitos de Autenticação e Gestão de Credenciais</w:t>
      </w:r>
    </w:p>
    <w:p>
      <w:pPr>
        <w:pStyle w:val="Heading2"/>
        <w:widowControl/>
      </w:pPr>
      <w:r>
        <w:t>1.1 Uso de hash criptográfico seguro para senhas</w:t>
      </w:r>
    </w:p>
    <w:p>
      <w:pPr>
        <w:widowControl/>
      </w:pPr>
      <w:r>
        <w:rPr>
          <w:b/>
        </w:rPr>
        <w:t xml:space="preserve">Requisito: </w:t>
      </w:r>
      <w:r>
        <w:t>As senhas devem ser armazenadas de forma segura, sem persistência em texto claro.</w:t>
      </w:r>
    </w:p>
    <w:p>
      <w:pPr>
        <w:widowControl/>
      </w:pPr>
      <w:r>
        <w:rPr>
          <w:b/>
        </w:rPr>
        <w:t xml:space="preserve">Implementação adotada: </w:t>
      </w:r>
      <w:r>
        <w:t>Foi adotado hashing seguro para a senha antes da persistência. No projeto, o tratamento de senha utiliza Argon2id, mantendo a senha original fora do banco.</w:t>
      </w:r>
    </w:p>
    <w:p>
      <w:pPr>
        <w:widowControl/>
      </w:pPr>
      <w:r>
        <w:rPr>
          <w:b/>
        </w:rPr>
        <w:t xml:space="preserve">Justificativa: </w:t>
      </w:r>
      <w:r>
        <w:t>O uso de hashing adequado reduz o impacto de um eventual comprometimento do banco de dados e atende ao requisito acadêmico de proteção das credenciais.</w:t>
      </w:r>
    </w:p>
    <w:p>
      <w:pPr>
        <w:widowControl/>
      </w:pPr>
      <w:r>
        <w:rPr>
          <w:b/>
        </w:rPr>
        <w:t xml:space="preserve">Evidência: </w:t>
      </w:r>
      <w:r>
        <w:t>A evidência visual direta do hash não é exibida pelo frontend; a comprovação deste item é complementada pela documentação técnica e pela implementação do backend.</w:t>
      </w:r>
    </w:p>
    <w:p>
      <w:pPr>
        <w:pStyle w:val="Heading2"/>
        <w:widowControl/>
      </w:pPr>
      <w:r>
        <w:t>1.2 Parâmetros de custo do hash configurados e justificados</w:t>
      </w:r>
    </w:p>
    <w:p>
      <w:pPr>
        <w:widowControl/>
      </w:pPr>
      <w:r>
        <w:rPr>
          <w:b/>
        </w:rPr>
        <w:t xml:space="preserve">Requisito: </w:t>
      </w:r>
      <w:r>
        <w:t>O custo computacional do mecanismo de hash deve ser configurado de forma consciente.</w:t>
      </w:r>
    </w:p>
    <w:p>
      <w:pPr>
        <w:widowControl/>
      </w:pPr>
      <w:r>
        <w:rPr>
          <w:b/>
        </w:rPr>
        <w:t xml:space="preserve">Implementação adotada: </w:t>
      </w:r>
      <w:r>
        <w:t>A configuração do mecanismo de hashing é mantida de forma parametrizável e documentada no código, permitindo equilibrar segurança e desempenho.</w:t>
      </w:r>
    </w:p>
    <w:p>
      <w:pPr>
        <w:widowControl/>
      </w:pPr>
      <w:r>
        <w:rPr>
          <w:b/>
        </w:rPr>
        <w:t xml:space="preserve">Justificativa: </w:t>
      </w:r>
      <w:r>
        <w:t>Parâmetros de custo bem definidos aumentam o esforço necessário para tentativas de descoberta de senha sem tornar o sistema impraticável no ambiente acadêmico.</w:t>
      </w:r>
    </w:p>
    <w:p>
      <w:pPr>
        <w:widowControl/>
      </w:pPr>
      <w:r>
        <w:rPr>
          <w:b/>
        </w:rPr>
        <w:t xml:space="preserve">Evidência: </w:t>
      </w:r>
      <w:r>
        <w:t>A evidência deste item é principalmente técnica/documental; os prints fornecidos comprovam o comportamento do fluxo de autenticação.</w:t>
      </w:r>
    </w:p>
    <w:p>
      <w:pPr>
        <w:pStyle w:val="Heading2"/>
        <w:widowControl/>
      </w:pPr>
      <w:r>
        <w:t>1.3 Uso de salt criptográfico único por usuário</w:t>
      </w:r>
    </w:p>
    <w:p>
      <w:pPr>
        <w:widowControl/>
      </w:pPr>
      <w:r>
        <w:rPr>
          <w:b/>
        </w:rPr>
        <w:t xml:space="preserve">Requisito: </w:t>
      </w:r>
      <w:r>
        <w:t>Cada senha deve utilizar um salt individual.</w:t>
      </w:r>
    </w:p>
    <w:p>
      <w:pPr>
        <w:widowControl/>
      </w:pPr>
      <w:r>
        <w:rPr>
          <w:b/>
        </w:rPr>
        <w:t xml:space="preserve">Implementação adotada: </w:t>
      </w:r>
      <w:r>
        <w:t>O mecanismo utilizado gera salt de forma segura para cada hash, evitando o uso de um salt fixo ou compartilhado.</w:t>
      </w:r>
    </w:p>
    <w:p>
      <w:pPr>
        <w:widowControl/>
      </w:pPr>
      <w:r>
        <w:rPr>
          <w:b/>
        </w:rPr>
        <w:t xml:space="preserve">Justificativa: </w:t>
      </w:r>
      <w:r>
        <w:t>Com salt individual, usuários com a mesma senha não precisam produzir o mesmo hash, reduzindo a eficácia de ataques em massa e de tabelas pré-computadas.</w:t>
      </w:r>
    </w:p>
    <w:p>
      <w:pPr>
        <w:widowControl/>
      </w:pPr>
      <w:r>
        <w:rPr>
          <w:b/>
        </w:rPr>
        <w:t xml:space="preserve">Evidência: </w:t>
      </w:r>
      <w:r>
        <w:t>A propriedade do salt é sustentada pela implementação de hashing e pela documentação técnica; não há uma tela do frontend que exponha o salt.</w:t>
      </w:r>
    </w:p>
    <w:p>
      <w:pPr>
        <w:pStyle w:val="Heading2"/>
        <w:widowControl/>
      </w:pPr>
      <w:r>
        <w:t>1.4 Armazenamento correto do hash + salt</w:t>
      </w:r>
    </w:p>
    <w:p>
      <w:pPr>
        <w:widowControl/>
      </w:pPr>
      <w:r>
        <w:rPr>
          <w:b/>
        </w:rPr>
        <w:t xml:space="preserve">Requisito: </w:t>
      </w:r>
      <w:r>
        <w:t>A senha bruta não deve ser persistida; somente o material derivado necessário à validação deve ser armazenado.</w:t>
      </w:r>
    </w:p>
    <w:p>
      <w:pPr>
        <w:widowControl/>
      </w:pPr>
      <w:r>
        <w:rPr>
          <w:b/>
        </w:rPr>
        <w:t xml:space="preserve">Implementação adotada: </w:t>
      </w:r>
      <w:r>
        <w:t>O banco recebe o resultado do processo de hashing, e a senha original não é armazenada.</w:t>
      </w:r>
    </w:p>
    <w:p>
      <w:pPr>
        <w:widowControl/>
      </w:pPr>
      <w:r>
        <w:rPr>
          <w:b/>
        </w:rPr>
        <w:t xml:space="preserve">Justificativa: </w:t>
      </w:r>
      <w:r>
        <w:t>Esse modelo reduz a exposição de credenciais e mantém a verificação da senha sem necessidade de recuperar seu valor original.</w:t>
      </w:r>
    </w:p>
    <w:p>
      <w:pPr>
        <w:widowControl/>
      </w:pPr>
      <w:r>
        <w:rPr>
          <w:b/>
        </w:rPr>
        <w:t xml:space="preserve">Evidência: </w:t>
      </w:r>
      <w:r>
        <w:t>A evidência deste item é técnica e de persistência; os prints do frontend demonstram o funcionamento da autenticação resultante.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1.5 Autenticação de dois fatores (2FA) implementada</w:t>
      </w:r>
    </w:p>
    <w:p>
      <w:pPr>
        <w:widowControl/>
      </w:pPr>
      <w:r>
        <w:rPr>
          <w:b/>
        </w:rPr>
        <w:t xml:space="preserve">Requisito: </w:t>
      </w:r>
      <w:r>
        <w:t>Além da senha, o sistema deve solicitar uma segunda etapa de validação.</w:t>
      </w:r>
    </w:p>
    <w:p>
      <w:pPr>
        <w:widowControl/>
      </w:pPr>
      <w:r>
        <w:rPr>
          <w:b/>
        </w:rPr>
        <w:t xml:space="preserve">Implementação adotada: </w:t>
      </w:r>
      <w:r>
        <w:t>Foi implementado 2FA por código temporário enviado ao e-mail cadastrado do usuário.</w:t>
      </w:r>
    </w:p>
    <w:p>
      <w:pPr>
        <w:widowControl/>
      </w:pPr>
      <w:r>
        <w:rPr>
          <w:b/>
        </w:rPr>
        <w:t xml:space="preserve">Justificativa: </w:t>
      </w:r>
      <w:r>
        <w:t>A segunda etapa reduz o risco de acesso indevido quando a senha é descoberta ou comprometida.</w:t>
      </w:r>
    </w:p>
    <w:p>
      <w:pPr>
        <w:widowControl/>
      </w:pPr>
      <w:r>
        <w:rPr>
          <w:b/>
        </w:rPr>
        <w:t xml:space="preserve">Evidência: </w:t>
      </w:r>
      <w:r>
        <w:t>As evidências mostram a tela de verificação e o recebimento efetivo do código.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860000" cy="5065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39490-1cbd-4f84-bad2-49d676fe5c4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06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1 — Tela do Hemo Connect solicitando o código de verificação de 6 dígitos.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860000" cy="3281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980520-ac82-4bf3-9c5f-4067957495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8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2 — E-mail recebido com o código temporário de verificação.</w:t>
      </w:r>
    </w:p>
    <w:p>
      <w:pPr>
        <w:pStyle w:val="Heading2"/>
        <w:widowControl/>
      </w:pPr>
      <w:r>
        <w:t>1.6 Validação do 2FA após autenticação primária</w:t>
      </w:r>
    </w:p>
    <w:p>
      <w:pPr>
        <w:widowControl/>
      </w:pPr>
      <w:r>
        <w:rPr>
          <w:b/>
        </w:rPr>
        <w:t xml:space="preserve">Requisito: </w:t>
      </w:r>
      <w:r>
        <w:t>A segunda etapa deve acontecer após a validação correta de e-mail e senha.</w:t>
      </w:r>
    </w:p>
    <w:p>
      <w:pPr>
        <w:widowControl/>
      </w:pPr>
      <w:r>
        <w:rPr>
          <w:b/>
        </w:rPr>
        <w:t xml:space="preserve">Implementação adotada: </w:t>
      </w:r>
      <w:r>
        <w:t>O fluxo foi implementado na ordem: e-mail e senha → validação primária → envio do código → validação do 2FA.</w:t>
      </w:r>
    </w:p>
    <w:p>
      <w:pPr>
        <w:widowControl/>
      </w:pPr>
      <w:r>
        <w:rPr>
          <w:b/>
        </w:rPr>
        <w:t xml:space="preserve">Justificativa: </w:t>
      </w:r>
      <w:r>
        <w:t>Essa ordem garante que o segundo fator complemente a autenticação primária e evita concluir a autenticação sem a segunda etapa.</w:t>
      </w:r>
    </w:p>
    <w:p>
      <w:pPr>
        <w:widowControl/>
      </w:pPr>
      <w:r>
        <w:rPr>
          <w:b/>
        </w:rPr>
        <w:t xml:space="preserve">Evidência: </w:t>
      </w:r>
      <w:r>
        <w:t>Os prints mostram a sequência visual entre o login primário e a etapa de verificação.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680000" cy="5865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2a07d-60bf-4bad-805f-89472e3fca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6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3 — Tela inicial de autenticação por e-mail e senha.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860000" cy="5065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39490-1cbd-4f84-bad2-49d676fe5c4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06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4 — Após a etapa primária, o frontend solicita o código de 2FA.</w:t>
      </w:r>
    </w:p>
    <w:p>
      <w:pPr>
        <w:pStyle w:val="Heading2"/>
        <w:widowControl/>
      </w:pPr>
      <w:r>
        <w:t>1.7 Fluxo de autenticação documentado</w:t>
      </w:r>
    </w:p>
    <w:p>
      <w:pPr>
        <w:widowControl/>
      </w:pPr>
      <w:r>
        <w:rPr>
          <w:b/>
        </w:rPr>
        <w:t xml:space="preserve">Requisito: </w:t>
      </w:r>
      <w:r>
        <w:t>O processo de autenticação deve ser compreensível e documentado.</w:t>
      </w:r>
    </w:p>
    <w:p>
      <w:pPr>
        <w:widowControl/>
      </w:pPr>
      <w:r>
        <w:rPr>
          <w:b/>
        </w:rPr>
        <w:t xml:space="preserve">Implementação adotada: </w:t>
      </w:r>
      <w:r>
        <w:t>O projeto possui documentação do fluxo e comentários no código das etapas de autenticação, 2FA, sessão e logout.</w:t>
      </w:r>
    </w:p>
    <w:p>
      <w:pPr>
        <w:widowControl/>
      </w:pPr>
      <w:r>
        <w:rPr>
          <w:b/>
        </w:rPr>
        <w:t xml:space="preserve">Justificativa: </w:t>
      </w:r>
      <w:r>
        <w:t>A documentação facilita a manutenção, a revisão acadêmica e a compreensão do comportamento de segurança da aplicação.</w:t>
      </w:r>
    </w:p>
    <w:p>
      <w:pPr>
        <w:widowControl/>
      </w:pPr>
      <w:r>
        <w:rPr>
          <w:b/>
        </w:rPr>
        <w:t xml:space="preserve">Evidência: </w:t>
      </w:r>
      <w:r>
        <w:t>Este documento consolida o fluxo funcional; o Markdown do projeto registra a documentação técnica das etapas.</w:t>
      </w:r>
    </w:p>
    <w:p>
      <w:pPr>
        <w:pStyle w:val="Heading2"/>
        <w:widowControl/>
      </w:pPr>
      <w:r>
        <w:t>1.8 Evidências funcionais</w:t>
      </w:r>
    </w:p>
    <w:p>
      <w:pPr>
        <w:widowControl/>
      </w:pPr>
      <w:r>
        <w:rPr>
          <w:b/>
        </w:rPr>
        <w:t xml:space="preserve">Requisito: </w:t>
      </w:r>
      <w:r>
        <w:t>Os requisitos de autenticação precisam ter evidências de funcionamento.</w:t>
      </w:r>
    </w:p>
    <w:p>
      <w:pPr>
        <w:widowControl/>
      </w:pPr>
      <w:r>
        <w:rPr>
          <w:b/>
        </w:rPr>
        <w:t xml:space="preserve">Implementação adotada: </w:t>
      </w:r>
      <w:r>
        <w:t>Foram coletadas evidências diretamente do frontend, complementadas pelo comportamento apresentado nas telas e pelo fluxo documentado.</w:t>
      </w:r>
    </w:p>
    <w:p>
      <w:pPr>
        <w:widowControl/>
      </w:pPr>
      <w:r>
        <w:rPr>
          <w:b/>
        </w:rPr>
        <w:t xml:space="preserve">Justificativa: </w:t>
      </w:r>
      <w:r>
        <w:t>A atividade exige demonstração prática. Por isso, as evidências visuais são apresentadas junto dos requisitos correspondentes.</w:t>
      </w:r>
    </w:p>
    <w:p>
      <w:pPr>
        <w:widowControl/>
      </w:pPr>
      <w:r>
        <w:rPr>
          <w:b/>
        </w:rPr>
        <w:t xml:space="preserve">Evidência: </w:t>
      </w:r>
      <w:r>
        <w:t>Os prints reunidos ao longo deste documento constituem as principais evidências funcionais do frontend.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04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d010fe-bf3f-4130-8251-cf8244e41e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5 — Área do doador após autenticação concluída.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1.9 Sessões com tempo de expiração</w:t>
      </w:r>
    </w:p>
    <w:p>
      <w:pPr>
        <w:widowControl/>
      </w:pPr>
      <w:r>
        <w:rPr>
          <w:b/>
        </w:rPr>
        <w:t xml:space="preserve">Requisito: </w:t>
      </w:r>
      <w:r>
        <w:t>A sessão deve expirar após o intervalo configurado de inatividade.</w:t>
      </w:r>
    </w:p>
    <w:p>
      <w:pPr>
        <w:widowControl/>
      </w:pPr>
      <w:r>
        <w:rPr>
          <w:b/>
        </w:rPr>
        <w:t xml:space="preserve">Implementação adotada: </w:t>
      </w:r>
      <w:r>
        <w:t>O controle de sessão foi implementado com expiração por inatividade de 45 minutos.</w:t>
      </w:r>
    </w:p>
    <w:p>
      <w:pPr>
        <w:widowControl/>
      </w:pPr>
      <w:r>
        <w:rPr>
          <w:b/>
        </w:rPr>
        <w:t xml:space="preserve">Justificativa: </w:t>
      </w:r>
      <w:r>
        <w:t>O timeout reduz o risco de uma sessão permanecer válida indefinidamente em dispositivos compartilhados ou quando o usuário abandona a aplicação.</w:t>
      </w:r>
    </w:p>
    <w:p>
      <w:pPr>
        <w:widowControl/>
      </w:pPr>
      <w:r>
        <w:rPr>
          <w:b/>
        </w:rPr>
        <w:t xml:space="preserve">Evidência: </w:t>
      </w:r>
      <w:r>
        <w:t>A mensagem exibida pelo frontend comprova o comportamento esperado após a expiração.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500000" cy="62029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bc9766-00fc-485c-a2f8-e7f08732e3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20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6 — Frontend informa que a sessão expirou e solicita novo login.</w:t>
      </w:r>
    </w:p>
    <w:p>
      <w:pPr>
        <w:pStyle w:val="Heading2"/>
        <w:widowControl/>
      </w:pPr>
      <w:r>
        <w:t>1.10 Invalidação de sessão no logout</w:t>
      </w:r>
    </w:p>
    <w:p>
      <w:pPr>
        <w:widowControl/>
      </w:pPr>
      <w:r>
        <w:rPr>
          <w:b/>
        </w:rPr>
        <w:t xml:space="preserve">Requisito: </w:t>
      </w:r>
      <w:r>
        <w:t>Ao sair do sistema, a sessão deve ser invalidada.</w:t>
      </w:r>
    </w:p>
    <w:p>
      <w:pPr>
        <w:widowControl/>
      </w:pPr>
      <w:r>
        <w:rPr>
          <w:b/>
        </w:rPr>
        <w:t xml:space="preserve">Implementação adotada: </w:t>
      </w:r>
      <w:r>
        <w:t>A validação da sessão é realizada pelo backend. O frontend apenas recebe a resposta da API e apresenta o estado correspondente ao usuário.</w:t>
      </w:r>
    </w:p>
    <w:p>
      <w:pPr>
        <w:widowControl/>
      </w:pPr>
      <w:r>
        <w:rPr>
          <w:b/>
        </w:rPr>
        <w:t xml:space="preserve">Justificativa: </w:t>
      </w:r>
      <w:r>
        <w:t>Centralizar a validação no backend evita que a segurança dependa apenas de controles de interface. A sessão inválida não deve continuar sendo aceita pelo servidor.</w:t>
      </w:r>
    </w:p>
    <w:p>
      <w:pPr>
        <w:widowControl/>
      </w:pPr>
      <w:r>
        <w:rPr>
          <w:b/>
        </w:rPr>
        <w:t xml:space="preserve">Evidência: </w:t>
      </w:r>
      <w:r>
        <w:t>Conforme definido para a entrega, esta evidência é reutilizada do requisito 1.9 para demonstrar a resposta observável no frontend quando a sessão deixa de ser válida.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500000" cy="62029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bc9766-00fc-485c-a2f8-e7f08732e3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20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7 — Evidência reutilizada: o frontend informa que a sessão não é mais válida e solicita novo login.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1.11 Proteção contra força bruta</w:t>
      </w:r>
    </w:p>
    <w:p>
      <w:pPr>
        <w:widowControl/>
      </w:pPr>
      <w:r>
        <w:rPr>
          <w:b/>
        </w:rPr>
        <w:t xml:space="preserve">Requisito: </w:t>
      </w:r>
      <w:r>
        <w:t>O sistema deve prevenir tentativas automatizadas e repetidas de autenticação.</w:t>
      </w:r>
    </w:p>
    <w:p>
      <w:pPr>
        <w:widowControl/>
      </w:pPr>
      <w:r>
        <w:rPr>
          <w:b/>
        </w:rPr>
        <w:t xml:space="preserve">Implementação adotada: </w:t>
      </w:r>
      <w:r>
        <w:t>Após 5 tentativas inválidas dentro de uma janela de 15 minutos, a conta é bloqueada temporariamente por 1 hora. O frontend também informa as tentativas restantes e o lockout ativo.</w:t>
      </w:r>
    </w:p>
    <w:p>
      <w:pPr>
        <w:widowControl/>
      </w:pPr>
      <w:r>
        <w:rPr>
          <w:b/>
        </w:rPr>
        <w:t xml:space="preserve">Justificativa: </w:t>
      </w:r>
      <w:r>
        <w:t>O mecanismo reduz a possibilidade de ataques de tentativa e erro e fornece retorno claro ao usuário sem expor detalhes desnecessários.</w:t>
      </w:r>
    </w:p>
    <w:p>
      <w:pPr>
        <w:widowControl/>
      </w:pPr>
      <w:r>
        <w:rPr>
          <w:b/>
        </w:rPr>
        <w:t xml:space="preserve">Evidência: </w:t>
      </w:r>
      <w:r>
        <w:t>Os dois prints comprovam tanto o contador de tentativas quanto o bloqueio temporário.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500000" cy="66213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aadd66-1e25-4597-9637-b2550608299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62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8 — Mensagem indicando tentativa inválida e quantidade restante antes do bloqueio.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500000" cy="67591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c25a39-f32c-4690-bb4c-341d5556fb5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75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B"/>
        <w:widowControl/>
        <w:jc w:val="center"/>
      </w:pPr>
      <w:r>
        <w:t>Figura 9 — Mensagem informando que a conta foi temporariamente bloqueada por 1 hora.</w:t>
      </w:r>
    </w:p>
    <w:p>
      <w:pPr>
        <w:pStyle w:val="Heading1"/>
        <w:widowControl/>
      </w:pPr>
      <w:r>
        <w:t>4. Regra do mecanismo de proteção</w:t>
      </w:r>
    </w:p>
    <w:p>
      <w:pPr>
        <w:widowControl/>
      </w:pPr>
      <w:r>
        <w:rPr>
          <w:b/>
        </w:rPr>
        <w:t xml:space="preserve">Regra implementada: </w:t>
      </w:r>
      <w:r>
        <w:t>5 tentativas inválidas em uma janela de 15 minutos → bloqueio temporário por 1 hora.</w:t>
      </w:r>
    </w:p>
    <w:p>
      <w:pPr>
        <w:widowControl/>
      </w:pPr>
      <w:r>
        <w:rPr>
          <w:b/>
        </w:rPr>
        <w:t xml:space="preserve">Comportamento observado: </w:t>
      </w:r>
      <w:r>
        <w:t>o frontend informa ao usuário as tentativas restantes e, após atingir o limite, apresenta o período de lockout.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1.12 Justificativas técnicas documentadas</w:t>
      </w:r>
    </w:p>
    <w:p>
      <w:pPr>
        <w:widowControl/>
      </w:pPr>
      <w:r>
        <w:rPr>
          <w:b/>
        </w:rPr>
        <w:t xml:space="preserve">Requisito: </w:t>
      </w:r>
      <w:r>
        <w:t>As decisões de segurança devem ser explicadas e rastreáveis.</w:t>
      </w:r>
    </w:p>
    <w:p>
      <w:pPr>
        <w:widowControl/>
      </w:pPr>
      <w:r>
        <w:rPr>
          <w:b/>
        </w:rPr>
        <w:t xml:space="preserve">Implementação adotada: </w:t>
      </w:r>
      <w:r>
        <w:t>As principais decisões foram documentadas: hashing de senha, salt, 2FA, timeout de sessão, invalidação de sessão e proteção contra força bruta.</w:t>
      </w:r>
    </w:p>
    <w:p>
      <w:pPr>
        <w:widowControl/>
      </w:pPr>
      <w:r>
        <w:rPr>
          <w:b/>
        </w:rPr>
        <w:t xml:space="preserve">Justificativa: </w:t>
      </w:r>
      <w:r>
        <w:t>A documentação demonstra não apenas que os recursos existem, mas também por que foram adotados e como se relacionam aos requisitos.</w:t>
      </w:r>
    </w:p>
    <w:p>
      <w:pPr>
        <w:widowControl/>
      </w:pPr>
      <w:r>
        <w:rPr>
          <w:b/>
        </w:rPr>
        <w:t xml:space="preserve">Evidência: </w:t>
      </w:r>
      <w:r>
        <w:t>O presente documento consolida as justificativas técnicas e as evidências funcionais fornecidas.</w:t>
      </w:r>
    </w:p>
    <w:p>
      <w:pPr>
        <w:pStyle w:val="Heading1"/>
        <w:widowControl/>
      </w:pPr>
      <w:r>
        <w:t>5. Checklist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7E7"/>
          </w:tcPr>
          <w:p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3324"/>
            <w:shd w:fill="E7E7E7"/>
          </w:tcPr>
          <w:p>
            <w:r>
              <w:rPr>
                <w:rFonts w:ascii="Arial" w:hAnsi="Arial"/>
                <w:b/>
                <w:sz w:val="18"/>
              </w:rPr>
              <w:t>Requisito</w:t>
            </w:r>
          </w:p>
        </w:tc>
        <w:tc>
          <w:tcPr>
            <w:tcW w:type="dxa" w:w="3324"/>
            <w:shd w:fill="E7E7E7"/>
          </w:tcPr>
          <w:p>
            <w:r>
              <w:rPr>
                <w:rFonts w:ascii="Arial" w:hAnsi="Arial"/>
                <w:b/>
                <w:sz w:val="18"/>
              </w:rPr>
              <w:t>Situação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1.1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Hash criptográfico seguro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1.2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Parâmetros de custo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1.3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Salt individual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1.4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Armazenamento seguro do hash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1.5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2FA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 e evidenciado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1.6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Validação do 2FA após login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 e evidenciado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1.7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Fluxo documentado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Documentado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1.8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Evidências funcionais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Apresentadas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1.9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Expiração de sessão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 e evidenciado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1.10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Invalidação no logout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Implementado; evidência observável reutilizada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1.11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Proteção contra força bruta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Implementado e evidenciado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b/>
                <w:sz w:val="17"/>
              </w:rPr>
              <w:t>1.12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Justificativas técnicas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Documentado</w:t>
            </w:r>
          </w:p>
        </w:tc>
      </w:tr>
    </w:tbl>
    <w:p>
      <w:pPr>
        <w:pStyle w:val="Heading1"/>
        <w:widowControl/>
      </w:pPr>
      <w:r>
        <w:t>6. Conclusão</w:t>
      </w:r>
    </w:p>
    <w:p>
      <w:pPr>
        <w:widowControl/>
      </w:pPr>
      <w:r>
        <w:t>O conjunto apresentado documenta o fluxo de autenticação e gestão de credenciais do Hemo Connect em nível adequado ao projeto universitário. A solução combina proteção de senha, segundo fator por e-mail, controle de sessão e bloqueio temporário por tentativas inválidas, com evidências coletadas diretamente no frontend.</w:t>
      </w:r>
    </w:p>
    <w:p>
      <w:pPr>
        <w:widowControl/>
      </w:pPr>
      <w:r>
        <w:t>Os prints apresentados demonstram o comportamento funcional da aplicação, enquanto a documentação técnica registra as decisões de segurança e a relação entre cada requisito e a solução implementada.</w:t>
      </w:r>
    </w:p>
    <w:p>
      <w:pPr>
        <w:widowControl/>
      </w:pPr>
      <w:r>
        <w:t>As evidências visuais devem ser consideradas em conjunto com o código-fonte, os testes e a documentação hospedados nos repositórios do projeto e com a Release entregue no GitHub.</w:t>
      </w:r>
    </w:p>
    <w:sectPr w:rsidR="00FC693F" w:rsidRPr="0006063C" w:rsidSect="00034616">
      <w:footerReference w:type="default" r:id="rId16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Hemo Connect — Autenticação e Gestão de Credenciais — UMC 2026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A5A5A"/>
      <w:sz w:val="16"/>
    </w:rPr>
  </w:style>
  <w:style w:type="paragraph" w:customStyle="1" w:styleId="Callout">
    <w:name w:val="Callout"/>
    <w:pPr>
      <w:spacing w:before="120" w:after="160"/>
    </w:pPr>
    <w:rPr>
      <w:rFonts w:ascii="Arial" w:hAnsi="Arial"/>
      <w:color w:val="141414"/>
      <w:sz w:val="19"/>
    </w:rPr>
  </w:style>
  <w:style w:type="paragraph" w:customStyle="1" w:styleId="CaptionPB">
    <w:name w:val="CaptionPB"/>
    <w:pPr>
      <w:spacing w:before="60" w:after="120"/>
    </w:pPr>
    <w:rPr>
      <w:rFonts w:ascii="Arial" w:hAnsi="Arial"/>
      <w:i/>
      <w:color w:val="46464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