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A99C" w14:textId="076951AE" w:rsidR="008F3F52" w:rsidRPr="009711D5" w:rsidRDefault="008F3F52" w:rsidP="005C1870">
      <w:pPr>
        <w:tabs>
          <w:tab w:val="left" w:pos="425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1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Tugas Membuat Poster</w:t>
      </w:r>
    </w:p>
    <w:p w14:paraId="0A89C73A" w14:textId="0F036B0E" w:rsidR="008F3F52" w:rsidRPr="009711D5" w:rsidRDefault="008F3F52" w:rsidP="008F3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11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STA211 Metode Statistika</w:t>
      </w:r>
    </w:p>
    <w:p w14:paraId="62ACB1B8" w14:textId="112EBDB3" w:rsidR="008F3F52" w:rsidRDefault="008F3F52" w:rsidP="008F3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2ABBC9" w14:textId="77777777" w:rsidR="008F3F52" w:rsidRDefault="008F3F52" w:rsidP="008F3F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80B7869" w14:textId="7A23CC8F" w:rsidR="008F3F52" w:rsidRPr="008F3F52" w:rsidRDefault="008F3F52" w:rsidP="00EE56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F3F52">
        <w:rPr>
          <w:rFonts w:ascii="Times New Roman" w:hAnsi="Times New Roman" w:cs="Times New Roman"/>
          <w:color w:val="000000"/>
        </w:rPr>
        <w:t xml:space="preserve">Poster adalah suatu desain grafis yang didalamnya terdapat gambar dan kata-kata </w:t>
      </w:r>
      <w:r>
        <w:rPr>
          <w:rFonts w:ascii="Times New Roman" w:hAnsi="Times New Roman" w:cs="Times New Roman"/>
          <w:color w:val="000000"/>
        </w:rPr>
        <w:t xml:space="preserve"> </w:t>
      </w:r>
      <w:r w:rsidRPr="008F3F52">
        <w:rPr>
          <w:rFonts w:ascii="Times New Roman" w:hAnsi="Times New Roman" w:cs="Times New Roman"/>
          <w:color w:val="000000"/>
        </w:rPr>
        <w:t>isinya memuat tentang informasi</w:t>
      </w:r>
      <w:r>
        <w:rPr>
          <w:rFonts w:ascii="Times New Roman" w:hAnsi="Times New Roman" w:cs="Times New Roman"/>
          <w:color w:val="000000"/>
        </w:rPr>
        <w:t xml:space="preserve">. </w:t>
      </w:r>
      <w:r w:rsidRPr="008F3F52">
        <w:rPr>
          <w:rFonts w:ascii="Times New Roman" w:hAnsi="Times New Roman" w:cs="Times New Roman"/>
          <w:color w:val="000000"/>
        </w:rPr>
        <w:t>Bahasa atau kalimat yang digunakan harus mudah dipahami oleh banyak orang. Kalimat pada poster harus singkat, jelas</w:t>
      </w:r>
      <w:r>
        <w:rPr>
          <w:rFonts w:ascii="Times New Roman" w:hAnsi="Times New Roman" w:cs="Times New Roman"/>
          <w:color w:val="000000"/>
        </w:rPr>
        <w:t>,</w:t>
      </w:r>
      <w:r w:rsidRPr="008F3F52">
        <w:rPr>
          <w:rFonts w:ascii="Times New Roman" w:hAnsi="Times New Roman" w:cs="Times New Roman"/>
          <w:color w:val="000000"/>
        </w:rPr>
        <w:t xml:space="preserve"> dan padat. Mengkombinasikan antara gambar yang menarik dengan tulisan. Dibuat sem</w:t>
      </w:r>
      <w:r>
        <w:rPr>
          <w:rFonts w:ascii="Times New Roman" w:hAnsi="Times New Roman" w:cs="Times New Roman"/>
          <w:color w:val="000000"/>
        </w:rPr>
        <w:t>e</w:t>
      </w:r>
      <w:r w:rsidRPr="008F3F52">
        <w:rPr>
          <w:rFonts w:ascii="Times New Roman" w:hAnsi="Times New Roman" w:cs="Times New Roman"/>
          <w:color w:val="000000"/>
        </w:rPr>
        <w:t xml:space="preserve">narik mungkin, supaya menarik perhatian banyak orang. </w:t>
      </w:r>
    </w:p>
    <w:p w14:paraId="410755E5" w14:textId="77777777" w:rsidR="008F3F52" w:rsidRDefault="008F3F52" w:rsidP="008F3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E1CF4C4" w14:textId="1D6A6298" w:rsidR="008F3F52" w:rsidRDefault="008F3F52" w:rsidP="008F3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Buatlah satu buah poster berukuran A4.  Pembagian topik yang ditulis setiap </w:t>
      </w:r>
      <w:r w:rsidR="007D5BAA">
        <w:rPr>
          <w:rFonts w:ascii="Times New Roman" w:hAnsi="Times New Roman" w:cs="Times New Roman"/>
          <w:color w:val="000000"/>
        </w:rPr>
        <w:t xml:space="preserve">kelompok </w:t>
      </w:r>
      <w:r>
        <w:rPr>
          <w:rFonts w:ascii="Times New Roman" w:hAnsi="Times New Roman" w:cs="Times New Roman"/>
          <w:color w:val="000000"/>
        </w:rPr>
        <w:t>diatur sbb:</w:t>
      </w:r>
    </w:p>
    <w:p w14:paraId="07E6B928" w14:textId="77777777" w:rsidR="008F3F52" w:rsidRDefault="008F3F52" w:rsidP="008F3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507"/>
        <w:gridCol w:w="1017"/>
        <w:gridCol w:w="1448"/>
        <w:gridCol w:w="4111"/>
        <w:gridCol w:w="3544"/>
      </w:tblGrid>
      <w:tr w:rsidR="009711D5" w14:paraId="3A659D2B" w14:textId="791C4249" w:rsidTr="000E53A7">
        <w:trPr>
          <w:trHeight w:val="349"/>
          <w:tblHeader/>
        </w:trPr>
        <w:tc>
          <w:tcPr>
            <w:tcW w:w="507" w:type="dxa"/>
          </w:tcPr>
          <w:p w14:paraId="095C231B" w14:textId="61A57185" w:rsidR="00356A81" w:rsidRPr="00356A81" w:rsidRDefault="00356A81" w:rsidP="00EE56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56A8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17" w:type="dxa"/>
          </w:tcPr>
          <w:p w14:paraId="2EBB899E" w14:textId="7D668912" w:rsidR="00356A81" w:rsidRPr="00356A81" w:rsidRDefault="00356A81" w:rsidP="00EE56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56A8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Kelompok</w:t>
            </w:r>
          </w:p>
        </w:tc>
        <w:tc>
          <w:tcPr>
            <w:tcW w:w="1448" w:type="dxa"/>
          </w:tcPr>
          <w:p w14:paraId="7C479CB2" w14:textId="79D28CA4" w:rsidR="00356A81" w:rsidRPr="00356A81" w:rsidRDefault="00356A81" w:rsidP="00EE56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56A8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Topik</w:t>
            </w:r>
          </w:p>
          <w:p w14:paraId="6B9B3ED3" w14:textId="62535604" w:rsidR="00356A81" w:rsidRPr="00356A81" w:rsidRDefault="00356A81" w:rsidP="00EE56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11" w:type="dxa"/>
          </w:tcPr>
          <w:p w14:paraId="3DC608FB" w14:textId="6B9D5701" w:rsidR="00356A81" w:rsidRPr="00356A81" w:rsidRDefault="00356A81" w:rsidP="00EE56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56A8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Judul (untuk judul silakan pilih salah satu)</w:t>
            </w:r>
          </w:p>
        </w:tc>
        <w:tc>
          <w:tcPr>
            <w:tcW w:w="3544" w:type="dxa"/>
          </w:tcPr>
          <w:p w14:paraId="4C27D5E4" w14:textId="7E6C421A" w:rsidR="00356A81" w:rsidRPr="00356A81" w:rsidRDefault="00356A81" w:rsidP="00356A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Keterangan</w:t>
            </w:r>
          </w:p>
        </w:tc>
      </w:tr>
      <w:tr w:rsidR="009711D5" w14:paraId="3977CDC7" w14:textId="2F4570E8" w:rsidTr="000E53A7">
        <w:trPr>
          <w:trHeight w:val="3235"/>
        </w:trPr>
        <w:tc>
          <w:tcPr>
            <w:tcW w:w="507" w:type="dxa"/>
          </w:tcPr>
          <w:p w14:paraId="674B59B4" w14:textId="24287D4B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14:paraId="50BD3B7C" w14:textId="39BA48A5" w:rsidR="00356A81" w:rsidRPr="005C1870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1-</w:t>
            </w:r>
            <w:r w:rsidR="005C187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448" w:type="dxa"/>
          </w:tcPr>
          <w:p w14:paraId="5AC5E50F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Peluang:</w:t>
            </w:r>
          </w:p>
          <w:p w14:paraId="069FEFDF" w14:textId="04B9626A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Teori dan Penerapannya dalam Kehidupan Sehari-hari</w:t>
            </w:r>
          </w:p>
        </w:tc>
        <w:tc>
          <w:tcPr>
            <w:tcW w:w="4111" w:type="dxa"/>
          </w:tcPr>
          <w:p w14:paraId="7A23392A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Judul:</w:t>
            </w:r>
          </w:p>
          <w:p w14:paraId="3454EB55" w14:textId="6704F690" w:rsidR="00356A81" w:rsidRPr="000E53A7" w:rsidRDefault="00356A81" w:rsidP="009711D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Peluang Kesiapan Mahasiswa dalam Pertemuan Tatap Muka (PTM) Jika Lokasi Kampus di Luar Kota: Studi Kasus Mahasiswa STA211 Metode Statistika IPB University</w:t>
            </w:r>
          </w:p>
          <w:p w14:paraId="38D4E516" w14:textId="64A072FE" w:rsidR="00356A81" w:rsidRPr="000E53A7" w:rsidRDefault="00356A81" w:rsidP="009711D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Peluang Keberhasilan Mahasiswa dalam  Pembelajaran Daring: Studi Kasus Mahasiswa STA211 Metode Statistika IPB University</w:t>
            </w:r>
          </w:p>
          <w:p w14:paraId="4D7CAA25" w14:textId="73767FBE" w:rsidR="00356A81" w:rsidRPr="000E53A7" w:rsidRDefault="00356A81" w:rsidP="009711D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Peluang Mahasiswa Yang Siap Mengikuti Pembelajaran Tatap Muka Telah Divaksin COVID-19: Studi Kasus Mahasiswa STA211 Metode Statistika IPB University</w:t>
            </w:r>
          </w:p>
          <w:p w14:paraId="40C20019" w14:textId="15A53C66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544" w:type="dxa"/>
          </w:tcPr>
          <w:p w14:paraId="16094F66" w14:textId="753AFD96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Silahkan Mengumpulkan Data Mahasiswa STA211 Metode Statistika</w:t>
            </w:r>
          </w:p>
        </w:tc>
      </w:tr>
      <w:tr w:rsidR="00356A81" w14:paraId="5508EEE7" w14:textId="7E37AABB" w:rsidTr="000E53A7">
        <w:trPr>
          <w:trHeight w:val="2178"/>
        </w:trPr>
        <w:tc>
          <w:tcPr>
            <w:tcW w:w="507" w:type="dxa"/>
            <w:vMerge w:val="restart"/>
          </w:tcPr>
          <w:p w14:paraId="5CAE8FAF" w14:textId="3EB9BE31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7" w:type="dxa"/>
            <w:vMerge w:val="restart"/>
          </w:tcPr>
          <w:p w14:paraId="2FCB18FF" w14:textId="7B3C190D" w:rsidR="00356A81" w:rsidRPr="005C1870" w:rsidRDefault="005C1870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="00356A81"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448" w:type="dxa"/>
            <w:vMerge w:val="restart"/>
          </w:tcPr>
          <w:p w14:paraId="5F2AB15E" w14:textId="77777777" w:rsidR="00356A81" w:rsidRPr="000E53A7" w:rsidRDefault="00356A81" w:rsidP="00EE56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Pengujian Hipotesis:</w:t>
            </w:r>
          </w:p>
          <w:p w14:paraId="1D8AC21C" w14:textId="6FEFC0F5" w:rsidR="00356A81" w:rsidRPr="000E53A7" w:rsidRDefault="00356A81" w:rsidP="009711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Tema: Meneropong parameter berdasarkan statistik</w:t>
            </w:r>
          </w:p>
        </w:tc>
        <w:tc>
          <w:tcPr>
            <w:tcW w:w="4111" w:type="dxa"/>
          </w:tcPr>
          <w:p w14:paraId="3EDD5A32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Judul:</w:t>
            </w:r>
          </w:p>
          <w:p w14:paraId="4CDA18EA" w14:textId="77777777" w:rsidR="00356A81" w:rsidRPr="000E53A7" w:rsidRDefault="00356A81" w:rsidP="009711D5">
            <w:pPr>
              <w:autoSpaceDE w:val="0"/>
              <w:autoSpaceDN w:val="0"/>
              <w:adjustRightInd w:val="0"/>
              <w:ind w:left="180" w:hanging="1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Fenomena Kemiskinan di Perdesaan Selama Pandemi COVID-19 di Indonesia Maret 2021</w:t>
            </w:r>
          </w:p>
          <w:p w14:paraId="65FAA04C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AE474E6" w14:textId="03C5E930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F456CFB" w14:textId="213D70A4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</w:tcPr>
          <w:p w14:paraId="68C7BF97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Uji Hipotesis Apakah Proporsi Penduduk Miskin di Perdesaan Maret 2021 (Gunakan Data per Provinsi) lebih besar dari 12.82% (Maret 2020)?</w:t>
            </w:r>
          </w:p>
          <w:p w14:paraId="520E0482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Sumber Data: </w:t>
            </w:r>
            <w:hyperlink r:id="rId5" w:history="1">
              <w:r w:rsidRPr="000E53A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https://www.bps.go.id/pressrelease/2021/07/15/1843/persentase-penduduk-miskin-maret-2021-turun-menjadi-10-14-persen.html</w:t>
              </w:r>
            </w:hyperlink>
          </w:p>
          <w:p w14:paraId="389DCE5B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6A81" w14:paraId="3252B3F9" w14:textId="77777777" w:rsidTr="000E53A7">
        <w:trPr>
          <w:trHeight w:val="2566"/>
        </w:trPr>
        <w:tc>
          <w:tcPr>
            <w:tcW w:w="507" w:type="dxa"/>
            <w:vMerge/>
          </w:tcPr>
          <w:p w14:paraId="38964E26" w14:textId="77777777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vMerge/>
          </w:tcPr>
          <w:p w14:paraId="7940D31B" w14:textId="77777777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Merge/>
          </w:tcPr>
          <w:p w14:paraId="46EFA1B4" w14:textId="77777777" w:rsidR="00356A81" w:rsidRPr="000E53A7" w:rsidRDefault="00356A81" w:rsidP="00EE56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EFA70AE" w14:textId="77777777" w:rsidR="00356A81" w:rsidRPr="000E53A7" w:rsidRDefault="00356A81" w:rsidP="009711D5">
            <w:pPr>
              <w:autoSpaceDE w:val="0"/>
              <w:autoSpaceDN w:val="0"/>
              <w:adjustRightInd w:val="0"/>
              <w:ind w:left="200" w:hanging="2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Fenomena Pengangguran di Perkotaan Selama Pandemi COVID-19 di Indonesia Februari 2021</w:t>
            </w:r>
          </w:p>
          <w:p w14:paraId="721B49A2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</w:tcPr>
          <w:p w14:paraId="007507F2" w14:textId="56C5FE8E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Uji Hipotesis Apakah Tingkat Pengangguran Terbuka di Perkotaan Februari 2021 (Gunakan Data Per Provinsi) lebih besar dari  6.12% (Feb 2020)?</w:t>
            </w:r>
          </w:p>
          <w:p w14:paraId="24BE8CE2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Sumber Data: </w:t>
            </w:r>
            <w:hyperlink r:id="rId6" w:history="1">
              <w:r w:rsidRPr="000E53A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https://www.bps.go.id/pressrelease/2021/05/05/1815/februari-2021--tingkat-pengangguran-terbuka--tpt--sebesar-6-26-persen.html</w:t>
              </w:r>
            </w:hyperlink>
          </w:p>
          <w:p w14:paraId="1BE4C47D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6A81" w14:paraId="67E9C211" w14:textId="77777777" w:rsidTr="000E53A7">
        <w:trPr>
          <w:trHeight w:val="2825"/>
        </w:trPr>
        <w:tc>
          <w:tcPr>
            <w:tcW w:w="507" w:type="dxa"/>
            <w:vMerge/>
          </w:tcPr>
          <w:p w14:paraId="494A291A" w14:textId="77777777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vMerge/>
          </w:tcPr>
          <w:p w14:paraId="3D17B6B8" w14:textId="77777777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Merge/>
          </w:tcPr>
          <w:p w14:paraId="51C97660" w14:textId="77777777" w:rsidR="00356A81" w:rsidRPr="000E53A7" w:rsidRDefault="00356A81" w:rsidP="00EE56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61221E92" w14:textId="77777777" w:rsidR="00356A81" w:rsidRPr="000E53A7" w:rsidRDefault="00356A81" w:rsidP="009711D5">
            <w:pPr>
              <w:autoSpaceDE w:val="0"/>
              <w:autoSpaceDN w:val="0"/>
              <w:adjustRightInd w:val="0"/>
              <w:ind w:left="200" w:hanging="2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Menilik Tingkat Penghunian Kamar Hotel Kategori Bintang di Indonesia Agustus 2021</w:t>
            </w:r>
          </w:p>
          <w:p w14:paraId="74FBB0C3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8CF304B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</w:tcPr>
          <w:p w14:paraId="21BD9DD7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Uji Hipotesis Apakah  Tingkat Penghunian Kamar Hotel Kategori Bintang Agustus 2021 (Gunakan Data Per Provinsi) lebih besar dari 32.93%(Agustus 2020)?</w:t>
            </w:r>
          </w:p>
          <w:p w14:paraId="025D0BED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69F3184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Sumber data:</w:t>
            </w:r>
            <w:r w:rsidRPr="000E53A7">
              <w:rPr>
                <w:sz w:val="20"/>
                <w:szCs w:val="20"/>
              </w:rPr>
              <w:t xml:space="preserve"> </w:t>
            </w:r>
            <w:hyperlink r:id="rId7" w:history="1">
              <w:r w:rsidRPr="000E53A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https://www.bps.go.id/pressrelease/2021/10/01/1804/perkembangan-pariwisata-dan-transportasi-nasional-bulan-agustus-2021.html</w:t>
              </w:r>
            </w:hyperlink>
          </w:p>
          <w:p w14:paraId="7F7C8AE7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6A81" w14:paraId="7BD5C6C4" w14:textId="19024DCE" w:rsidTr="000E53A7">
        <w:trPr>
          <w:trHeight w:val="900"/>
        </w:trPr>
        <w:tc>
          <w:tcPr>
            <w:tcW w:w="507" w:type="dxa"/>
            <w:vMerge w:val="restart"/>
          </w:tcPr>
          <w:p w14:paraId="52C1EF08" w14:textId="156CEE47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017" w:type="dxa"/>
            <w:vMerge w:val="restart"/>
          </w:tcPr>
          <w:p w14:paraId="74FBDAF2" w14:textId="311C0368" w:rsidR="00356A81" w:rsidRPr="005C1870" w:rsidRDefault="005C1870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</w:t>
            </w:r>
            <w:r w:rsidR="00356A81"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8" w:type="dxa"/>
            <w:vMerge w:val="restart"/>
          </w:tcPr>
          <w:p w14:paraId="515E4ADC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Perbandingan 2 populasi:</w:t>
            </w:r>
          </w:p>
          <w:p w14:paraId="7D0B7C55" w14:textId="296AB8B5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Tema: Menilai Dua Keadaan Secara Kuantitatif</w:t>
            </w:r>
          </w:p>
        </w:tc>
        <w:tc>
          <w:tcPr>
            <w:tcW w:w="4111" w:type="dxa"/>
          </w:tcPr>
          <w:p w14:paraId="451A511B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Judul:</w:t>
            </w:r>
          </w:p>
          <w:p w14:paraId="1DA65FC3" w14:textId="2446835E" w:rsidR="00356A81" w:rsidRPr="000E53A7" w:rsidRDefault="00356A81" w:rsidP="00356A81">
            <w:pPr>
              <w:autoSpaceDE w:val="0"/>
              <w:autoSpaceDN w:val="0"/>
              <w:adjustRightInd w:val="0"/>
              <w:ind w:left="200" w:hanging="2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Perbandingan Penambahan Kasus  COVID-19 di Jawa dan Luar Jawa Pada Oktober 2021</w:t>
            </w:r>
          </w:p>
          <w:p w14:paraId="3CADC3FD" w14:textId="3C3CF0B6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</w:tcPr>
          <w:p w14:paraId="487EADC9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Sumber Data: </w:t>
            </w:r>
            <w:hyperlink r:id="rId8" w:history="1">
              <w:r w:rsidRPr="000E53A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https://covid19.go.id/peta-sebaran</w:t>
              </w:r>
            </w:hyperlink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dan web terkait COVID-19 terpercaya lainnya</w:t>
            </w:r>
          </w:p>
          <w:p w14:paraId="086F9C06" w14:textId="36E20D52" w:rsidR="00356A81" w:rsidRPr="000E53A7" w:rsidRDefault="00356A81" w:rsidP="000E53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356A81" w14:paraId="7B7634AC" w14:textId="77777777" w:rsidTr="000E53A7">
        <w:trPr>
          <w:trHeight w:val="1477"/>
        </w:trPr>
        <w:tc>
          <w:tcPr>
            <w:tcW w:w="507" w:type="dxa"/>
            <w:vMerge/>
          </w:tcPr>
          <w:p w14:paraId="67AEFCC6" w14:textId="77777777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vMerge/>
          </w:tcPr>
          <w:p w14:paraId="3F241DFB" w14:textId="77777777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Merge/>
          </w:tcPr>
          <w:p w14:paraId="679F0F28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5586FC6C" w14:textId="77777777" w:rsidR="00356A81" w:rsidRPr="000E53A7" w:rsidRDefault="00356A81" w:rsidP="00356A81">
            <w:pPr>
              <w:autoSpaceDE w:val="0"/>
              <w:autoSpaceDN w:val="0"/>
              <w:adjustRightInd w:val="0"/>
              <w:ind w:left="200" w:hanging="2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Perbandingan Penambahan Kasus COVID-19 Saat Diterapkan PPKM Level 3 dan Level 2 di Bali</w:t>
            </w:r>
          </w:p>
          <w:p w14:paraId="368E8C62" w14:textId="13DC0685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AF2CCB8" w14:textId="4FA495B8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8109CD1" w14:textId="305CEA20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C155DBA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</w:tcPr>
          <w:p w14:paraId="0EDF3ED7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Level 3:  5-18 Oktober 2021</w:t>
            </w:r>
          </w:p>
          <w:p w14:paraId="257A8763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Level 2: 19 Oktober-1 November 2021</w:t>
            </w:r>
          </w:p>
          <w:p w14:paraId="68A8AD2A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A081A0C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Sumber Data: </w:t>
            </w:r>
            <w:hyperlink r:id="rId9" w:history="1">
              <w:r w:rsidRPr="000E53A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https://covid19.go.id/peta-sebaran</w:t>
              </w:r>
            </w:hyperlink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dan web terkait COVID-19 terpercaya lainnya</w:t>
            </w:r>
          </w:p>
          <w:p w14:paraId="3AB98D80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6A81" w14:paraId="7BE64CF4" w14:textId="77777777" w:rsidTr="000E53A7">
        <w:trPr>
          <w:trHeight w:val="1422"/>
        </w:trPr>
        <w:tc>
          <w:tcPr>
            <w:tcW w:w="507" w:type="dxa"/>
            <w:vMerge/>
          </w:tcPr>
          <w:p w14:paraId="7DA4E9D8" w14:textId="77777777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vMerge/>
          </w:tcPr>
          <w:p w14:paraId="3AAC119C" w14:textId="77777777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Merge/>
          </w:tcPr>
          <w:p w14:paraId="762C572C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8544FCA" w14:textId="77777777" w:rsidR="00356A81" w:rsidRPr="000E53A7" w:rsidRDefault="00356A81" w:rsidP="009711D5">
            <w:pPr>
              <w:autoSpaceDE w:val="0"/>
              <w:autoSpaceDN w:val="0"/>
              <w:adjustRightInd w:val="0"/>
              <w:ind w:left="200" w:hanging="2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Perbandingan Proporsi Penduduk Miskin di Perkotaan dan Perdesaan Indonesia Pada Maret 2021</w:t>
            </w:r>
          </w:p>
          <w:p w14:paraId="1E193A75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</w:tcPr>
          <w:p w14:paraId="48E45D91" w14:textId="4511589F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Sumber Data: </w:t>
            </w:r>
            <w:hyperlink r:id="rId10" w:history="1">
              <w:r w:rsidRPr="000E53A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https://www.bps.go.id/pressrelease/2021/07/15/1843/persentase-penduduk-miskin-maret-2021-turun-menjadi-10-14-persen.html</w:t>
              </w:r>
            </w:hyperlink>
          </w:p>
        </w:tc>
      </w:tr>
      <w:tr w:rsidR="00356A81" w14:paraId="14458ED4" w14:textId="3CC150E5" w:rsidTr="000E53A7">
        <w:trPr>
          <w:trHeight w:val="1123"/>
        </w:trPr>
        <w:tc>
          <w:tcPr>
            <w:tcW w:w="507" w:type="dxa"/>
            <w:vMerge w:val="restart"/>
          </w:tcPr>
          <w:p w14:paraId="53374ED4" w14:textId="26F38114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7" w:type="dxa"/>
            <w:vMerge w:val="restart"/>
          </w:tcPr>
          <w:p w14:paraId="0BD7FE26" w14:textId="6B96E524" w:rsidR="00356A81" w:rsidRPr="005C1870" w:rsidRDefault="005C1870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</w:t>
            </w:r>
            <w:r w:rsidR="00356A81"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448" w:type="dxa"/>
            <w:vMerge w:val="restart"/>
          </w:tcPr>
          <w:p w14:paraId="1C1C60A3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Regresi:</w:t>
            </w:r>
          </w:p>
          <w:p w14:paraId="783DB731" w14:textId="07B417C6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Tema: Menghubungkan Dua Kejadian Yang Tidak Sempurna</w:t>
            </w:r>
          </w:p>
        </w:tc>
        <w:tc>
          <w:tcPr>
            <w:tcW w:w="4111" w:type="dxa"/>
          </w:tcPr>
          <w:p w14:paraId="6ED1D697" w14:textId="77777777" w:rsidR="00356A81" w:rsidRPr="000E53A7" w:rsidRDefault="00356A81" w:rsidP="00EE56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Judul:</w:t>
            </w:r>
          </w:p>
          <w:p w14:paraId="0322534C" w14:textId="77777777" w:rsidR="00356A81" w:rsidRPr="000E53A7" w:rsidRDefault="00356A81" w:rsidP="009711D5">
            <w:pPr>
              <w:autoSpaceDE w:val="0"/>
              <w:autoSpaceDN w:val="0"/>
              <w:adjustRightInd w:val="0"/>
              <w:ind w:left="180" w:hanging="1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1.Hubungan Level PPKM dengan Kasus Penambahan COVID-19 di Jawa-Bali Periode 19 Oktober - 1 November 2021</w:t>
            </w:r>
          </w:p>
          <w:p w14:paraId="56E24893" w14:textId="77777777" w:rsidR="00356A81" w:rsidRPr="000E53A7" w:rsidRDefault="00356A81" w:rsidP="00EE56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2A9C643" w14:textId="31635B5D" w:rsidR="00356A81" w:rsidRPr="000E53A7" w:rsidRDefault="00356A81" w:rsidP="00EE56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</w:tcPr>
          <w:p w14:paraId="1BAD389D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Lakukan Model Regresi Linier. Data level kab/kota di Jawa-Bali</w:t>
            </w:r>
          </w:p>
          <w:p w14:paraId="5F6190A3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Sumber Data: </w:t>
            </w:r>
            <w:hyperlink r:id="rId11" w:history="1">
              <w:r w:rsidRPr="000E53A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https://covid19.go.id/peta-sebaran</w:t>
              </w:r>
            </w:hyperlink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dan web terkait COVID-19 terpercaya lainnya</w:t>
            </w:r>
          </w:p>
          <w:p w14:paraId="5F493C4D" w14:textId="77777777" w:rsidR="00356A81" w:rsidRPr="000E53A7" w:rsidRDefault="00356A81" w:rsidP="00EE56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6A81" w14:paraId="4F9E46A7" w14:textId="77777777" w:rsidTr="000E53A7">
        <w:trPr>
          <w:trHeight w:val="2134"/>
        </w:trPr>
        <w:tc>
          <w:tcPr>
            <w:tcW w:w="507" w:type="dxa"/>
            <w:vMerge/>
          </w:tcPr>
          <w:p w14:paraId="7BED818F" w14:textId="77777777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vMerge/>
          </w:tcPr>
          <w:p w14:paraId="619044EE" w14:textId="77777777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Merge/>
          </w:tcPr>
          <w:p w14:paraId="76B15392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62925B88" w14:textId="77777777" w:rsidR="00356A81" w:rsidRPr="000E53A7" w:rsidRDefault="00356A81" w:rsidP="009711D5">
            <w:pPr>
              <w:autoSpaceDE w:val="0"/>
              <w:autoSpaceDN w:val="0"/>
              <w:adjustRightInd w:val="0"/>
              <w:ind w:left="180" w:hanging="1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Hubungan Kasus Penambahan Penderita COVID-19 dengan Tingkat Pengangguran di Indonesia Februari 2021</w:t>
            </w:r>
          </w:p>
          <w:p w14:paraId="23CE6D77" w14:textId="77777777" w:rsidR="00356A81" w:rsidRPr="000E53A7" w:rsidRDefault="00356A81" w:rsidP="00EE56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BE00493" w14:textId="77777777" w:rsidR="00356A81" w:rsidRPr="000E53A7" w:rsidRDefault="00356A81" w:rsidP="00EE56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</w:tcPr>
          <w:p w14:paraId="7E88B707" w14:textId="77777777" w:rsidR="009711D5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Lakukan Model Regresi Linier. </w:t>
            </w:r>
          </w:p>
          <w:p w14:paraId="04497CD9" w14:textId="6370EEDE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level Provinsi</w:t>
            </w:r>
          </w:p>
          <w:p w14:paraId="12474117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Sumber Data: </w:t>
            </w:r>
            <w:hyperlink r:id="rId12" w:history="1">
              <w:r w:rsidRPr="000E53A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https://www.bps.go.id/pressrelease/2021/05/05/1815/februari-2021--tingkat-pengangguran-terbuka--tpt--sebesar-6-26-persen.html</w:t>
              </w:r>
            </w:hyperlink>
          </w:p>
          <w:p w14:paraId="5298C1EE" w14:textId="77777777" w:rsidR="00356A81" w:rsidRPr="000E53A7" w:rsidRDefault="00000000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13" w:history="1">
              <w:r w:rsidR="00356A81" w:rsidRPr="000E53A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https://covid19.go.id/peta-sebaran</w:t>
              </w:r>
            </w:hyperlink>
            <w:r w:rsidR="00356A81"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dan web terkait COVID-19 terpercaya lainnya</w:t>
            </w:r>
          </w:p>
          <w:p w14:paraId="2C1C2AAF" w14:textId="77777777" w:rsidR="00356A81" w:rsidRPr="000E53A7" w:rsidRDefault="00356A81" w:rsidP="00EE56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56A81" w14:paraId="79006724" w14:textId="77777777" w:rsidTr="000E53A7">
        <w:trPr>
          <w:trHeight w:val="3108"/>
        </w:trPr>
        <w:tc>
          <w:tcPr>
            <w:tcW w:w="507" w:type="dxa"/>
            <w:vMerge/>
          </w:tcPr>
          <w:p w14:paraId="424BD3F0" w14:textId="77777777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vMerge/>
          </w:tcPr>
          <w:p w14:paraId="720E7EB1" w14:textId="77777777" w:rsidR="00356A81" w:rsidRPr="000E53A7" w:rsidRDefault="00356A81" w:rsidP="008F3F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Merge/>
          </w:tcPr>
          <w:p w14:paraId="311F4AB5" w14:textId="77777777" w:rsidR="00356A81" w:rsidRPr="000E53A7" w:rsidRDefault="00356A81" w:rsidP="007D5B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11" w:type="dxa"/>
          </w:tcPr>
          <w:p w14:paraId="5AAB6A8D" w14:textId="77777777" w:rsidR="00356A81" w:rsidRPr="000E53A7" w:rsidRDefault="00356A81" w:rsidP="009711D5">
            <w:pPr>
              <w:autoSpaceDE w:val="0"/>
              <w:autoSpaceDN w:val="0"/>
              <w:adjustRightInd w:val="0"/>
              <w:ind w:left="180" w:hanging="1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Hubungan Kasus Penambahan Penderita COVID-19 dengan Tingkat Kemiskinan Maret 2021</w:t>
            </w:r>
          </w:p>
          <w:p w14:paraId="7D239569" w14:textId="77777777" w:rsidR="00356A81" w:rsidRPr="000E53A7" w:rsidRDefault="00356A81" w:rsidP="00EE56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881C5B7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</w:tcPr>
          <w:p w14:paraId="5E585F40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Keterangan:</w:t>
            </w:r>
          </w:p>
          <w:p w14:paraId="7F4AFC2E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Lakukan Model Regresi Linier. Data level provinsi</w:t>
            </w:r>
          </w:p>
          <w:p w14:paraId="7AB95A0F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3C0DA46" w14:textId="77777777" w:rsidR="00356A81" w:rsidRPr="000E53A7" w:rsidRDefault="00356A81" w:rsidP="00356A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Sumber Data: </w:t>
            </w:r>
            <w:hyperlink r:id="rId14" w:history="1">
              <w:r w:rsidRPr="000E53A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https://www.bps.go.id/pressrelease/2021/07/15/1843/persentase-penduduk-miskin-maret-2021-turun-menjadi-10-14-persen.html</w:t>
              </w:r>
            </w:hyperlink>
          </w:p>
          <w:p w14:paraId="458ACDA7" w14:textId="138565FB" w:rsidR="00356A81" w:rsidRPr="000E53A7" w:rsidRDefault="00000000" w:rsidP="00EE56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15" w:history="1">
              <w:r w:rsidR="00356A81" w:rsidRPr="000E53A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https://covid19.go.id/peta-sebaran</w:t>
              </w:r>
            </w:hyperlink>
            <w:r w:rsidR="00356A81" w:rsidRPr="000E53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dan web terkait COVID-19 terpercaya lainnya</w:t>
            </w:r>
          </w:p>
        </w:tc>
      </w:tr>
    </w:tbl>
    <w:p w14:paraId="2A4CE968" w14:textId="77777777" w:rsidR="007D5BAA" w:rsidRDefault="007D5BAA" w:rsidP="008F3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F052FD7" w14:textId="77777777" w:rsidR="007D5BAA" w:rsidRDefault="007D5BAA" w:rsidP="008F3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DB56440" w14:textId="77777777" w:rsidR="008F3F52" w:rsidRDefault="008F3F52" w:rsidP="008F3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00380BC3" w14:textId="6D35B145" w:rsidR="007A3254" w:rsidRPr="009711D5" w:rsidRDefault="009711D5" w:rsidP="009711D5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== </w:t>
      </w:r>
      <w:r w:rsidR="008F3F52" w:rsidRPr="009711D5">
        <w:rPr>
          <w:rFonts w:ascii="Times New Roman" w:hAnsi="Times New Roman" w:cs="Times New Roman"/>
          <w:color w:val="000000"/>
          <w:sz w:val="28"/>
          <w:szCs w:val="28"/>
        </w:rPr>
        <w:t xml:space="preserve">SELAMAT BEKERJA </w:t>
      </w:r>
      <w:r>
        <w:rPr>
          <w:rFonts w:ascii="Times New Roman" w:hAnsi="Times New Roman" w:cs="Times New Roman"/>
          <w:color w:val="000000"/>
          <w:sz w:val="28"/>
          <w:szCs w:val="28"/>
        </w:rPr>
        <w:t>==</w:t>
      </w:r>
    </w:p>
    <w:sectPr w:rsidR="007A3254" w:rsidRPr="009711D5" w:rsidSect="00356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2A54"/>
    <w:multiLevelType w:val="hybridMultilevel"/>
    <w:tmpl w:val="E688B0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06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52"/>
    <w:rsid w:val="000E53A7"/>
    <w:rsid w:val="00356A81"/>
    <w:rsid w:val="00514641"/>
    <w:rsid w:val="005C1870"/>
    <w:rsid w:val="007A3254"/>
    <w:rsid w:val="007D5BAA"/>
    <w:rsid w:val="008F3F52"/>
    <w:rsid w:val="009711D5"/>
    <w:rsid w:val="00E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2A99"/>
  <w15:chartTrackingRefBased/>
  <w15:docId w15:val="{CF08B2D7-1501-4318-9288-2A87B613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6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go.id/peta-sebaran" TargetMode="External"/><Relationship Id="rId13" Type="http://schemas.openxmlformats.org/officeDocument/2006/relationships/hyperlink" Target="https://covid19.go.id/peta-sebar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ps.go.id/pressrelease/2021/10/01/1804/perkembangan-pariwisata-dan-transportasi-nasional-bulan-agustus-2021.html" TargetMode="External"/><Relationship Id="rId12" Type="http://schemas.openxmlformats.org/officeDocument/2006/relationships/hyperlink" Target="https://www.bps.go.id/pressrelease/2021/05/05/1815/februari-2021--tingkat-pengangguran-terbuka--tpt--sebesar-6-26-perse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ps.go.id/pressrelease/2021/05/05/1815/februari-2021--tingkat-pengangguran-terbuka--tpt--sebesar-6-26-persen.html" TargetMode="External"/><Relationship Id="rId11" Type="http://schemas.openxmlformats.org/officeDocument/2006/relationships/hyperlink" Target="https://covid19.go.id/peta-sebaran" TargetMode="External"/><Relationship Id="rId5" Type="http://schemas.openxmlformats.org/officeDocument/2006/relationships/hyperlink" Target="https://www.bps.go.id/pressrelease/2021/07/15/1843/persentase-penduduk-miskin-maret-2021-turun-menjadi-10-14-persen.html" TargetMode="External"/><Relationship Id="rId15" Type="http://schemas.openxmlformats.org/officeDocument/2006/relationships/hyperlink" Target="https://covid19.go.id/peta-sebaran" TargetMode="External"/><Relationship Id="rId10" Type="http://schemas.openxmlformats.org/officeDocument/2006/relationships/hyperlink" Target="https://www.bps.go.id/pressrelease/2021/07/15/1843/persentase-penduduk-miskin-maret-2021-turun-menjadi-10-14-pers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19.go.id/peta-sebaran" TargetMode="External"/><Relationship Id="rId14" Type="http://schemas.openxmlformats.org/officeDocument/2006/relationships/hyperlink" Target="https://www.bps.go.id/pressrelease/2021/07/15/1843/persentase-penduduk-miskin-maret-2021-turun-menjadi-10-14-pers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laily nissa</cp:lastModifiedBy>
  <cp:revision>2</cp:revision>
  <dcterms:created xsi:type="dcterms:W3CDTF">2022-11-02T09:26:00Z</dcterms:created>
  <dcterms:modified xsi:type="dcterms:W3CDTF">2022-11-02T09:26:00Z</dcterms:modified>
</cp:coreProperties>
</file>