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06D3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DR.COSMO品牌抖音执行规划</w:t>
      </w:r>
    </w:p>
    <w:p w14:paraId="4771495D">
      <w:pPr>
        <w:pStyle w:val="2"/>
        <w:bidi w:val="0"/>
        <w:ind w:left="0" w:leftChars="0" w:firstLine="0" w:firstLineChars="0"/>
      </w:pPr>
      <w:bookmarkStart w:id="0" w:name="heading_0"/>
      <w:r>
        <w:t>品牌与市场深度分析</w:t>
      </w:r>
      <w:bookmarkEnd w:id="0"/>
    </w:p>
    <w:p w14:paraId="65C39EC2">
      <w:pPr>
        <w:pStyle w:val="3"/>
        <w:bidi w:val="0"/>
        <w:ind w:left="0" w:leftChars="0" w:firstLine="0" w:firstLineChars="0"/>
      </w:pPr>
      <w:bookmarkStart w:id="1" w:name="heading_1"/>
      <w:r>
        <w:t>DR.COSMO核心竞争力</w:t>
      </w:r>
      <w:bookmarkEnd w:id="1"/>
    </w:p>
    <w:p w14:paraId="0AD8A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DR.COSMO的产品不是一个“单点技术”的故事，而是一个 “豪华复合成分矩阵”。其核心优势在于：</w:t>
      </w:r>
    </w:p>
    <w:p w14:paraId="6DAC5DF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成分浓度与纯度：506770ppm的高含量、100倍价格的腺苷，直接对标并超越GENABELLE的55000ppm数字游戏。</w:t>
      </w:r>
    </w:p>
    <w:p w14:paraId="2A62C95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专利复合物集群：六重专利（Eosidin, RiFerm, MATRIXYL等）与三重专利（8重透明质酸复合物等），提供了从屏障修护、抗老到保湿的全通路解决方案。</w:t>
      </w:r>
    </w:p>
    <w:p w14:paraId="6F15BCA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珍稀植萃的应用：五月玫瑰、大马士革玫瑰愈伤组织培养提取物、有机德国洋甘菊，提供了高端品牌的故事和感官体验。</w:t>
      </w:r>
    </w:p>
    <w:p w14:paraId="0396574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高附加值成分：24k纯金胶体、5重EGF、神经肽，这些是普通平价竞品绝不会使用的“奢华级”增效成分。</w:t>
      </w:r>
    </w:p>
    <w:p w14:paraId="45694B1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产品优势： 高浓度、专利成分、明确的功能体系，符合中国消费者对“功效护肤”的追求。</w:t>
      </w:r>
    </w:p>
    <w:p w14:paraId="302B55D2">
      <w:pPr>
        <w:pStyle w:val="3"/>
        <w:bidi w:val="0"/>
        <w:ind w:left="0" w:leftChars="0" w:firstLine="0" w:firstLineChars="0"/>
      </w:pPr>
      <w:bookmarkStart w:id="2" w:name="heading_2"/>
      <w:r>
        <w:t>竞争对手核心竞争力</w:t>
      </w:r>
      <w:bookmarkEnd w:id="2"/>
    </w:p>
    <w:p w14:paraId="47914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OGANACELL（奥嘉娜）</w:t>
      </w:r>
    </w:p>
    <w:p w14:paraId="4031B4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优势洞察：</w:t>
      </w:r>
    </w:p>
    <w:p w14:paraId="08E22D9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错位竞争：没有在抖音硬推其可能昂贵的高科技精华，而是选择 “洁面”这个流量最大、决策门槛最低的品类进行破局。“院线级小气泡”的概念，将专业护理体验居家化，很有吸引力。</w:t>
      </w:r>
    </w:p>
    <w:p w14:paraId="3F19A6F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数据化营销：“一次清洗最大减少60.62%”（应指油脂或污垢）用具体数字建立强功效认知。</w:t>
      </w:r>
    </w:p>
    <w:p w14:paraId="57C96D3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信任状齐全：“敏感肌护肤榜TOP6”、“好评榜第1名”——这些标签是说服新用户最直接、最有力的工具。它成功将自己从“陌生海外品牌”转变为“市场验证的爆款”。</w:t>
      </w:r>
    </w:p>
    <w:p w14:paraId="50866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这是一个 “以爆款带品牌” 的经典抖音打法。用超高性价比和强功能性的洁面吸引海量用户入店，形成消费体验，为日后推荐店内其他高价产品（如精华）建立用户基础和数据资产。</w:t>
      </w:r>
    </w:p>
    <w:p w14:paraId="7BED8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GENABELLE（洁娜倍）</w:t>
      </w:r>
    </w:p>
    <w:p w14:paraId="49AF2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优势洞察：</w:t>
      </w:r>
    </w:p>
    <w:p w14:paraId="2A5AA55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聚焦核心成分：所有文案突出 “Melacare complex” 及 “55000ppm” 高浓度，直击成分党偏好，建立专业、高效的品牌形象。</w:t>
      </w:r>
    </w:p>
    <w:p w14:paraId="63F1B1C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精准定位：明确针对 “美白”、“祛斑”、“集中护理” 需求，用户画像清晰。</w:t>
      </w:r>
    </w:p>
    <w:p w14:paraId="6375D88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价格策略：148元定价，属于功效性护肤品中尝试门槛较低的价位。</w:t>
      </w:r>
    </w:p>
    <w:p w14:paraId="44F40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目前还处于 “积累初期”。粉丝量少，但产品逻辑清晰。它的挑战在于如何将“成分故事”转化为广泛的用户认知和购买动力。可能需要更多 “真人评测”、“前后对比” 的内容来弥补销量和榜单信任状的不足。</w:t>
      </w:r>
    </w:p>
    <w:p w14:paraId="0492DB22">
      <w:pPr>
        <w:pStyle w:val="3"/>
        <w:bidi w:val="0"/>
        <w:ind w:left="0" w:leftChars="0" w:firstLine="0" w:firstLineChars="0"/>
      </w:pPr>
      <w:bookmarkStart w:id="3" w:name="heading_3"/>
      <w:r>
        <w:t>DR.COSMO目标客群画像</w:t>
      </w:r>
      <w:bookmarkEnd w:id="3"/>
    </w:p>
    <w:p w14:paraId="7CD30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OGANACELL和GENABELLE成功开辟了 “100-250元价格带的韩系功效护肤品” 市场。DR.COSMO的目标不是做另一个他们，而是在他们之上，与修丽可、倩碧、部分国产功效品牌争夺专业修护市场”。</w:t>
      </w:r>
    </w:p>
    <w:p w14:paraId="1980DDB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核心人群： 25-40岁，居住于一二线城市，肌肤类型为干性/敏感性/轻熟龄肌的精致女性。</w:t>
      </w:r>
    </w:p>
    <w:p w14:paraId="7ABDA8C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消费特征： 成分党，小红书/抖音深度用户，信赖KOL/KOC测评，愿意为“科技+功效+体验”付费，客单价预期在500-1500元。</w:t>
      </w:r>
    </w:p>
    <w:p w14:paraId="6584845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心理诉求： 寻求安全有效的“肌肤急救方案”与长期维稳抗老的“护肤伴侣”。</w:t>
      </w:r>
    </w:p>
    <w:p w14:paraId="2298B689">
      <w:pPr>
        <w:pStyle w:val="2"/>
        <w:bidi w:val="0"/>
        <w:ind w:left="0" w:leftChars="0" w:firstLine="0" w:firstLineChars="0"/>
      </w:pPr>
      <w:bookmarkStart w:id="4" w:name="heading_4"/>
      <w:r>
        <w:t>竞对分析</w:t>
      </w:r>
      <w:bookmarkEnd w:id="4"/>
    </w:p>
    <w:p w14:paraId="36DB899E">
      <w:pPr>
        <w:pStyle w:val="3"/>
        <w:bidi w:val="0"/>
        <w:ind w:left="0" w:leftChars="0" w:firstLine="0" w:firstLineChars="0"/>
      </w:pPr>
      <w:bookmarkStart w:id="5" w:name="heading_5"/>
      <w:r>
        <w:t>竞对生意结构拆解</w:t>
      </w:r>
      <w:bookmarkEnd w:id="5"/>
    </w:p>
    <w:p w14:paraId="2BF228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OGANACELL(奥嘉娜）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1"/>
        <w:gridCol w:w="4138"/>
      </w:tblGrid>
      <w:tr w14:paraId="716A034B"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83FC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057275"/>
                  <wp:effectExtent l="0" t="0" r="12700" b="952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B84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2025年销售截图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1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9201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66975" cy="1057275"/>
                  <wp:effectExtent l="0" t="0" r="22225" b="952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76D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2025年Q4销售结构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102EC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OGANACELL(奥嘉娜）2025全年销售达人占比60%，自播占比22%，商品卡占比18%，季度销售达人占比30%，自播占比51%，商品卡占比19%。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5"/>
        <w:gridCol w:w="2849"/>
        <w:gridCol w:w="2525"/>
      </w:tblGrid>
      <w:tr w14:paraId="50B610EC">
        <w:tc>
          <w:tcPr>
            <w:tcW w:w="2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B7A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85925" cy="704850"/>
                  <wp:effectExtent l="0" t="0" r="15875" b="635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CA8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2023年达人列表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178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47825" cy="704850"/>
                  <wp:effectExtent l="0" t="0" r="3175" b="635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027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2024年4约达人列表（首次爆发）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B7C8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447800" cy="704850"/>
                  <wp:effectExtent l="0" t="0" r="0" b="635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68C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2024年全年达人销售列表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0E402C5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OGANA CELL从2023年2月开始进行抖音销售，由【</w:t>
      </w:r>
      <w:r>
        <w:fldChar w:fldCharType="begin"/>
      </w:r>
      <w:r>
        <w:instrText xml:space="preserve"> HYPERLINK "http://121.40.235.44:8085/app/#/blogger-detail/index?bloggerId=6440087&amp;tab=commerce&amp;menuval=2&amp;ts=1765255399&amp;sign=2adab782589c40f7462039770b9b0432"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美co在韩国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】单达人进行销售，全月直播两场。2023全年拓展了15个带货达人，主力销售由4个达人带来，基础属性都为代购人设的达人，没有实际大量的产出。23年全年销售额200w左右。</w:t>
      </w:r>
    </w:p>
    <w:p w14:paraId="316DF12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首次销售爆发来源于</w:t>
      </w:r>
      <w:r>
        <w:rPr>
          <w:rFonts w:ascii="Arial" w:hAnsi="Arial" w:eastAsia="等线" w:cs="Arial"/>
          <w:b/>
          <w:sz w:val="22"/>
          <w:shd w:val="clear" w:fill="BACEFD"/>
        </w:rPr>
        <w:t>2024年4月</w:t>
      </w:r>
      <w:r>
        <w:rPr>
          <w:rFonts w:ascii="Arial" w:hAnsi="Arial" w:eastAsia="等线" w:cs="Arial"/>
          <w:sz w:val="22"/>
        </w:rPr>
        <w:t>，主要销售由【搭搭】完成。全年销售额在6000w-1亿左右，其中【搭搭】带来60%销售额。第二名达人【韦雪】12月进行合作，增长趋势极好（当时韦雪直播间八卦聊天属性流量高，加上本人符合美妆类目达人的属性）</w:t>
      </w:r>
    </w:p>
    <w:p w14:paraId="2ED7B41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全年生意预估3-5亿，1月到3月，由【韦雪】带来品牌的绝大部分销售数据，最高值为当月销售额5000w+。2025年2025年4月开启品牌自播，首月GMV75w-100w，到7月份完成单月1000wgmv的增长曲线，10月份达到自播销售最高值，11月同比有所下滑。</w:t>
      </w:r>
    </w:p>
    <w:p w14:paraId="62AF3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GENABELLE（洁娜倍）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86"/>
        <w:gridCol w:w="4093"/>
      </w:tblGrid>
      <w:tr w14:paraId="6F897AF3">
        <w:tc>
          <w:tcPr>
            <w:tcW w:w="41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8648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05075" cy="1076325"/>
                  <wp:effectExtent l="0" t="0" r="9525" b="15875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8B6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2025年全年销售结构截图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B1BA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38400" cy="1076325"/>
                  <wp:effectExtent l="0" t="0" r="0" b="15875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A1A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2025年Q4销售结构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0D618A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GENABELLE（洁娜倍）全年销售达人占比85%，自播占比不到1%，商品卡占比14%，季度销售达人占比72.5%，自播占比1.5%，商品卡占比26%。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2"/>
        <w:gridCol w:w="2869"/>
        <w:gridCol w:w="2767"/>
      </w:tblGrid>
      <w:tr w14:paraId="3915362A"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0D8D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24000" cy="695325"/>
                  <wp:effectExtent l="0" t="0" r="0" b="15875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EB0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2024年4月达人列表（首次爆发）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4B7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66875" cy="695325"/>
                  <wp:effectExtent l="0" t="0" r="9525" b="15875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570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2024年5月达人列表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19C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695325"/>
                  <wp:effectExtent l="0" t="0" r="0" b="15875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EF0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2024年6月达人列表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6DEA81E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首次销售爆发来源于2024年4月，主要销售由【搭搭】完成，首月上了9个达人，除【搭搭】外其他达人数据一般</w:t>
      </w:r>
    </w:p>
    <w:p w14:paraId="1EDA64B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5月19个合作达人，6月22个合作达人，GMV仅10-25w，效果一般。</w:t>
      </w:r>
    </w:p>
    <w:p w14:paraId="29A8747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7月业绩爆发也由【搭搭】完成。同年10月商品卡数据进行一波较大增长，同时和后续核心带货主播【ally】进行首次合作。同年11月合作达人【金爱麟夫妇】均有较好产出。</w:t>
      </w:r>
    </w:p>
    <w:p w14:paraId="15A4FF2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2025年-</w:t>
      </w:r>
    </w:p>
    <w:p w14:paraId="4A9B6A27">
      <w:pPr>
        <w:pStyle w:val="3"/>
        <w:bidi w:val="0"/>
        <w:ind w:left="0" w:leftChars="0" w:firstLine="0" w:firstLineChars="0"/>
      </w:pPr>
      <w:bookmarkStart w:id="6" w:name="heading_6"/>
      <w:r>
        <w:t>货品策略</w:t>
      </w:r>
      <w:bookmarkEnd w:id="6"/>
    </w:p>
    <w:p w14:paraId="2E162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OGANACELL(奥嘉娜）&amp;GENABELLE（洁娜倍）</w:t>
      </w:r>
    </w:p>
    <w:p w14:paraId="060A7382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6">
            <o:LockedField>false</o:LockedField>
          </o:OLEObject>
        </w:object>
      </w:r>
    </w:p>
    <w:p w14:paraId="6E2C1D9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DCD1C92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7" w:name="heading_7"/>
      <w:r>
        <w:rPr>
          <w:rFonts w:cstheme="minorBidi"/>
          <w:b/>
        </w:rPr>
        <w:t>人群画像</w:t>
      </w:r>
      <w:bookmarkEnd w:id="7"/>
    </w:p>
    <w:p w14:paraId="6F1DD4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OGANACELL(奥嘉娜）&amp;GENABELLE（洁娜倍）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1"/>
        <w:gridCol w:w="4258"/>
      </w:tblGrid>
      <w:tr w14:paraId="49643255">
        <w:tc>
          <w:tcPr>
            <w:tcW w:w="40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A650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00300" cy="1047750"/>
                  <wp:effectExtent l="0" t="0" r="12700" b="1905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339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43175" cy="1047750"/>
                  <wp:effectExtent l="0" t="0" r="22225" b="19050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FEBB5"/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8"/>
        <w:gridCol w:w="4171"/>
      </w:tblGrid>
      <w:tr w14:paraId="590A1246">
        <w:tc>
          <w:tcPr>
            <w:tcW w:w="41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FAA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47925" cy="1076325"/>
                  <wp:effectExtent l="0" t="0" r="15875" b="15875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ADBC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95550" cy="1076325"/>
                  <wp:effectExtent l="0" t="0" r="19050" b="15875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724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消费者人群画像基本一致，地域分布重合度也较高，自营画像由于</w:t>
      </w:r>
      <w:r>
        <w:rPr>
          <w:rFonts w:ascii="Arial" w:hAnsi="Arial" w:eastAsia="等线" w:cs="Arial"/>
          <w:b/>
          <w:sz w:val="22"/>
        </w:rPr>
        <w:t>GENABELLE（洁娜倍）基本上销售来源于达人推广所以画像不准确。OGANACELL(奥嘉娜）的自营画像基本是由新锐白领、精致妈妈和小镇青年为主。</w:t>
      </w:r>
    </w:p>
    <w:p w14:paraId="10F27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关键词云</w:t>
      </w:r>
    </w:p>
    <w:p w14:paraId="34EDDB2A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8" w:name="heading_8"/>
      <w:r>
        <w:rPr>
          <w:rFonts w:cstheme="minorBidi"/>
          <w:b/>
        </w:rPr>
        <w:t>对标品牌小红书种草策略</w:t>
      </w:r>
      <w:bookmarkEnd w:id="8"/>
    </w:p>
    <w:p w14:paraId="0CBB3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OGANACELL(奥嘉娜）从24年一季度大量铺商业笔记，月均商业笔记数30+，月平均阅读数100w+，日均获赞1000+</w:t>
      </w:r>
    </w:p>
    <w:p w14:paraId="0A74E8E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全年持续铺量，第一季度及第二季度商单数量约90单，月均30单。</w:t>
      </w:r>
    </w:p>
    <w:p w14:paraId="329D6CE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第三、第四季度略有减少，月均20单商业笔记，主打韩女精致生活内容，到2024年底开始植入“</w:t>
      </w:r>
      <w:r>
        <w:rPr>
          <w:rFonts w:ascii="Arial" w:hAnsi="Arial" w:eastAsia="等线" w:cs="Arial"/>
          <w:b/>
          <w:sz w:val="22"/>
        </w:rPr>
        <w:t>跟着韦雪买”</w:t>
      </w:r>
      <w:r>
        <w:rPr>
          <w:rFonts w:ascii="Arial" w:hAnsi="Arial" w:eastAsia="等线" w:cs="Arial"/>
          <w:sz w:val="22"/>
        </w:rPr>
        <w:t>的话题。</w:t>
      </w:r>
    </w:p>
    <w:p w14:paraId="25C265C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2025年二季度达到数据峰值，</w:t>
      </w:r>
      <w:r>
        <w:rPr>
          <w:rFonts w:ascii="Arial" w:hAnsi="Arial" w:eastAsia="等线" w:cs="Arial"/>
          <w:b/>
          <w:sz w:val="22"/>
        </w:rPr>
        <w:t>月均商业笔记数30+，月平均阅读数250w+，日均获赞3000+，</w:t>
      </w:r>
      <w:r>
        <w:rPr>
          <w:rFonts w:ascii="Arial" w:hAnsi="Arial" w:eastAsia="等线" w:cs="Arial"/>
          <w:sz w:val="22"/>
        </w:rPr>
        <w:t>三季度后数据开始下滑。</w:t>
      </w:r>
    </w:p>
    <w:p w14:paraId="1A8BB82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小红书节奏及抖音节奏一致。铺小红书商业笔记后上播搭搭产生第一次爆发，后续均是随着达人进行小红书铺排。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22"/>
        <w:gridCol w:w="4157"/>
      </w:tblGrid>
      <w:tr w14:paraId="46C77A88">
        <w:tc>
          <w:tcPr>
            <w:tcW w:w="41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F85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57450" cy="1019175"/>
                  <wp:effectExtent l="0" t="0" r="6350" b="22225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E05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2024年第一季度（首次铺商业笔记）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1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B616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86025" cy="1019175"/>
                  <wp:effectExtent l="0" t="0" r="3175" b="22225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080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2024年第二季度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6EB83DA2"/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15"/>
        <w:gridCol w:w="4164"/>
      </w:tblGrid>
      <w:tr w14:paraId="7649FDFA">
        <w:tc>
          <w:tcPr>
            <w:tcW w:w="4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3E73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57450" cy="1019175"/>
                  <wp:effectExtent l="0" t="0" r="6350" b="22225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50A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2024年第三季度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2D24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86025" cy="1028700"/>
                  <wp:effectExtent l="0" t="0" r="3175" b="12700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EE9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2024年第四季度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7587AF7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24075"/>
            <wp:effectExtent l="0" t="0" r="0" b="9525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78B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2025年第二季度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3C76E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GENABELLE（洁娜倍）2024年基本上没有商业笔记，以自运营品牌账号内容发布为主，2024年Q4新增一篇商业笔记，2025年第二季度开始加入商业笔记，月均商业笔记数15+，月平均阅读数30w+，日均获赞200+。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79"/>
        <w:gridCol w:w="4200"/>
      </w:tblGrid>
      <w:tr w14:paraId="180C1629">
        <w:tc>
          <w:tcPr>
            <w:tcW w:w="4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0988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28875" cy="1038225"/>
                  <wp:effectExtent l="0" t="0" r="9525" b="3175"/>
                  <wp:docPr id="20" name="Draw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rawing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3E7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2024年第一季度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1E55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14600" cy="1038225"/>
                  <wp:effectExtent l="0" t="0" r="0" b="3175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61E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2024年第四季度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475BBDE7"/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44"/>
        <w:gridCol w:w="4235"/>
      </w:tblGrid>
      <w:tr w14:paraId="79270F73">
        <w:tc>
          <w:tcPr>
            <w:tcW w:w="4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5AA5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09825" cy="1009650"/>
                  <wp:effectExtent l="0" t="0" r="3175" b="6350"/>
                  <wp:docPr id="22" name="Draw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2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DE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2025年第二季度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F1C9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33650" cy="1009650"/>
                  <wp:effectExtent l="0" t="0" r="6350" b="6350"/>
                  <wp:docPr id="23" name="Draw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2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DC9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2025年第三季度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10F68981">
      <w:pPr>
        <w:pStyle w:val="2"/>
        <w:bidi w:val="0"/>
        <w:ind w:left="0" w:leftChars="0" w:firstLine="0" w:firstLineChars="0"/>
      </w:pPr>
      <w:bookmarkStart w:id="9" w:name="heading_9"/>
      <w:r>
        <w:t>货品策略</w:t>
      </w:r>
      <w:bookmarkEnd w:id="9"/>
    </w:p>
    <w:p w14:paraId="7AEAE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我们将复杂的成分表，翻译成消费者易懂、抖音易传播的“购买理由”。</w:t>
      </w:r>
    </w:p>
    <w:p w14:paraId="1E874CDA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10" w:name="heading_10"/>
      <w:r>
        <w:rPr>
          <w:rFonts w:cstheme="minorBidi"/>
          <w:b/>
        </w:rPr>
        <w:t>单品卖点</w:t>
      </w:r>
      <w:bookmarkEnd w:id="10"/>
    </w:p>
    <w:p w14:paraId="52E13AB4">
      <w:pPr>
        <w:spacing w:before="120" w:after="120" w:line="288" w:lineRule="auto"/>
        <w:ind w:left="0"/>
      </w:pPr>
      <w:r>
        <w:object>
          <v:shape id="_x0000_i1026" o:spt="75" type="#_x0000_t75" style="height:107pt;width:41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31">
            <o:LockedField>false</o:LockedField>
          </o:OLEObject>
        </w:object>
      </w:r>
    </w:p>
    <w:p w14:paraId="6C1198E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B12D94A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11" w:name="heading_11"/>
      <w:r>
        <w:rPr>
          <w:rFonts w:cstheme="minorBidi"/>
          <w:b/>
        </w:rPr>
        <w:t>CP套装卖点</w:t>
      </w:r>
      <w:bookmarkEnd w:id="11"/>
    </w:p>
    <w:p w14:paraId="6C0D1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定位：皮肤的全天候修护官</w:t>
      </w:r>
    </w:p>
    <w:p w14:paraId="19E5B5C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日间：精华打底，快速退红维稳，让皮肤处于“冷静”状态，方便上妆。</w:t>
      </w:r>
    </w:p>
    <w:p w14:paraId="6FEDD9E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夜间：精华+面霜组合，完成“舒缓（精华）→ 强韧修复（面霜）”的闭环，应对一整天的损伤。</w:t>
      </w:r>
    </w:p>
    <w:p w14:paraId="023EF18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沟通话术：“单用是猛药，合用是系统疗程。精华负责「救火」，面霜负责「筑墙」，一套带走敏感、干燥和初老问题。”</w:t>
      </w:r>
    </w:p>
    <w:p w14:paraId="7857BA61">
      <w:pPr>
        <w:pStyle w:val="2"/>
        <w:bidi w:val="0"/>
        <w:ind w:left="425" w:leftChars="0" w:hanging="425" w:firstLineChars="0"/>
      </w:pPr>
      <w:bookmarkStart w:id="12" w:name="heading_12"/>
      <w:r>
        <w:t>营销策略及预算</w:t>
      </w:r>
      <w:bookmarkEnd w:id="12"/>
    </w:p>
    <w:p w14:paraId="3E2897CB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13" w:name="heading_13"/>
      <w:r>
        <w:rPr>
          <w:rFonts w:cstheme="minorBidi"/>
          <w:b/>
        </w:rPr>
        <w:t>分节点达人策略</w:t>
      </w:r>
      <w:bookmarkEnd w:id="13"/>
    </w:p>
    <w:p w14:paraId="1378F909">
      <w:pPr>
        <w:spacing w:before="120" w:after="120" w:line="288" w:lineRule="auto"/>
        <w:ind w:left="0"/>
      </w:pPr>
      <w:r>
        <w:object>
          <v:shape id="_x0000_i1027" o:spt="75" type="#_x0000_t75" style="height:128pt;width:41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33">
            <o:LockedField>false</o:LockedField>
          </o:OLEObject>
        </w:object>
      </w:r>
    </w:p>
    <w:p w14:paraId="4B0238A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A4DC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达人合作ROI要求</w:t>
      </w:r>
    </w:p>
    <w:p w14:paraId="6D57335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KOC/素人：ROI≥3（主要承担内容产出与口碑）</w:t>
      </w:r>
    </w:p>
    <w:p w14:paraId="01EC5B7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中腰部达人：ROI≥2.5（主要承担日常转化）</w:t>
      </w:r>
    </w:p>
    <w:p w14:paraId="7725E74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头部达人：ROI≥2（主要承担节点爆发与品宣）</w:t>
      </w:r>
    </w:p>
    <w:p w14:paraId="2B67BA4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超头/明星：ROI≥1.5（主要承担品牌背书与破圈）</w:t>
      </w:r>
    </w:p>
    <w:p w14:paraId="7EEAAFBF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14" w:name="heading_14"/>
      <w:r>
        <w:rPr>
          <w:rFonts w:cstheme="minorBidi"/>
          <w:b/>
        </w:rPr>
        <w:t>内容策略与商品卡运营</w:t>
      </w:r>
      <w:bookmarkEnd w:id="14"/>
    </w:p>
    <w:p w14:paraId="2732410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内容矩阵</w:t>
      </w:r>
    </w:p>
    <w:p w14:paraId="143CB52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单品内容线：聚焦"即时效果"，主打精华的退红、急救</w:t>
      </w:r>
    </w:p>
    <w:p w14:paraId="0E2588C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CP内容线：聚焦"系统修护"，主打组合的科学性与完整性</w:t>
      </w:r>
    </w:p>
    <w:p w14:paraId="63AD88B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场景内容线：绑定具体场景（熬夜、换季、妆前、送礼）</w:t>
      </w:r>
    </w:p>
    <w:p w14:paraId="3C997FEC">
      <w:pPr>
        <w:numPr>
          <w:ilvl w:val="0"/>
          <w:numId w:val="3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b/>
          <w:sz w:val="22"/>
        </w:rPr>
        <w:t>商品卡优化策略</w:t>
      </w:r>
    </w:p>
    <w:p w14:paraId="371B107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前期（1-2月）：重点优化商品卡基础信息（标题、主图、详情）</w:t>
      </w:r>
    </w:p>
    <w:p w14:paraId="6D4E55F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测试期：A/B测试不同商品卡组合的点击率与转化率</w:t>
      </w:r>
    </w:p>
    <w:p w14:paraId="45ED7E5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放大期：将高转化商品卡组合通过付费流量放大</w:t>
      </w:r>
    </w:p>
    <w:p w14:paraId="177AF02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维护期：定期更新商品卡内容，保持新鲜度</w:t>
      </w:r>
    </w:p>
    <w:p w14:paraId="72A245BA">
      <w:pPr>
        <w:numPr>
          <w:ilvl w:val="0"/>
          <w:numId w:val="3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b/>
          <w:sz w:val="22"/>
        </w:rPr>
        <w:t>付费流量分配</w:t>
      </w:r>
    </w:p>
    <w:p w14:paraId="0D6BF3E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商品卡推广：占总投放预算的30%</w:t>
      </w:r>
    </w:p>
    <w:p w14:paraId="57B0FD0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内容加热：占总投放预算的40%</w:t>
      </w:r>
    </w:p>
    <w:p w14:paraId="2F988BB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直播间引流：占总投放预算的30%</w:t>
      </w:r>
    </w:p>
    <w:p w14:paraId="5EACA527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15" w:name="heading_15"/>
      <w:r>
        <w:rPr>
          <w:rFonts w:cstheme="minorBidi"/>
          <w:b/>
        </w:rPr>
        <w:t>推荐达人List</w:t>
      </w:r>
      <w:bookmarkEnd w:id="15"/>
    </w:p>
    <w:p w14:paraId="6C43B2F5">
      <w:pPr>
        <w:spacing w:before="120" w:after="120" w:line="288" w:lineRule="auto"/>
        <w:ind w:left="0"/>
      </w:pPr>
      <w:r>
        <w:object>
          <v:shape id="_x0000_i1028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35">
            <o:LockedField>false</o:LockedField>
          </o:OLEObject>
        </w:object>
      </w:r>
    </w:p>
    <w:p w14:paraId="4784DA40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3AF1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BACEFD"/>
        </w:rPr>
        <w:t>抖音筛选指标以GMV产出为核心推荐，小红书筛选指标以互动数为核心推荐</w:t>
      </w:r>
    </w:p>
    <w:p w14:paraId="2826D1AC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16" w:name="heading_16"/>
      <w:r>
        <w:rPr>
          <w:rFonts w:cstheme="minorBidi"/>
          <w:b/>
        </w:rPr>
        <w:t>分阶段执行策略与预算分配</w:t>
      </w:r>
      <w:bookmarkEnd w:id="16"/>
    </w:p>
    <w:p w14:paraId="3313F5FE">
      <w:pPr>
        <w:numPr>
          <w:ilvl w:val="0"/>
          <w:numId w:val="45"/>
        </w:num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营销预算月度分配（总计：1000万）</w:t>
      </w:r>
      <w:bookmarkEnd w:id="17"/>
    </w:p>
    <w:p w14:paraId="78E562AE">
      <w:pPr>
        <w:spacing w:before="120" w:after="120" w:line="288" w:lineRule="auto"/>
        <w:ind w:left="0"/>
      </w:pPr>
      <w:r>
        <w:object>
          <v:shape id="_x0000_i1029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37">
            <o:LockedField>false</o:LockedField>
          </o:OLEObject>
        </w:object>
      </w:r>
    </w:p>
    <w:p w14:paraId="17131DF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AE2EB62">
      <w:pPr>
        <w:spacing w:before="120" w:after="120" w:line="288" w:lineRule="auto"/>
        <w:ind w:left="0"/>
      </w:pPr>
      <w:r>
        <w:object>
          <v:shape id="_x0000_i1030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39">
            <o:LockedField>false</o:LockedField>
          </o:OLEObject>
        </w:object>
      </w:r>
    </w:p>
    <w:p w14:paraId="38D2C0C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4916031">
      <w:pPr>
        <w:numPr>
          <w:ilvl w:val="0"/>
          <w:numId w:val="45"/>
        </w:numPr>
        <w:spacing w:before="300" w:after="120" w:line="288" w:lineRule="auto"/>
        <w:ind w:left="0" w:leftChars="0" w:firstLine="0" w:firstLineChars="0"/>
        <w:jc w:val="left"/>
        <w:outlineLvl w:val="2"/>
      </w:pPr>
      <w:bookmarkStart w:id="18" w:name="heading_18"/>
      <w:bookmarkStart w:id="20" w:name="_GoBack"/>
      <w:bookmarkEnd w:id="20"/>
      <w:r>
        <w:rPr>
          <w:rFonts w:ascii="Arial" w:hAnsi="Arial" w:eastAsia="等线" w:cs="Arial"/>
          <w:b/>
          <w:sz w:val="30"/>
        </w:rPr>
        <w:t>运营费用预算</w:t>
      </w:r>
      <w:bookmarkEnd w:id="18"/>
    </w:p>
    <w:p w14:paraId="330DADB4">
      <w:pPr>
        <w:spacing w:before="120" w:after="120" w:line="288" w:lineRule="auto"/>
        <w:ind w:left="0"/>
      </w:pPr>
      <w:r>
        <w:object>
          <v:shape id="_x0000_i1031" o:spt="75" type="#_x0000_t75" style="height:75pt;width:414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41">
            <o:LockedField>false</o:LockedField>
          </o:OLEObject>
        </w:object>
      </w:r>
    </w:p>
    <w:p w14:paraId="26594E0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5A68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若全年GMV达成率超100%，全年GMV额外5%的分成奖励。</w:t>
      </w:r>
    </w:p>
    <w:p w14:paraId="3AF66DE6">
      <w:pPr>
        <w:pStyle w:val="3"/>
        <w:bidi w:val="0"/>
        <w:ind w:left="0" w:leftChars="0" w:firstLine="0" w:firstLineChars="0"/>
        <w:rPr>
          <w:rFonts w:cstheme="minorBidi"/>
          <w:b/>
        </w:rPr>
      </w:pPr>
      <w:bookmarkStart w:id="19" w:name="heading_19"/>
      <w:r>
        <w:rPr>
          <w:rFonts w:cstheme="minorBidi"/>
          <w:b/>
        </w:rPr>
        <w:t>整体规划</w:t>
      </w:r>
      <w:bookmarkEnd w:id="19"/>
    </w:p>
    <w:p w14:paraId="4E13D85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年度GMV目标：5820万元</w:t>
      </w:r>
    </w:p>
    <w:p w14:paraId="2DD5ED6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年度营销总预算：1000万元</w:t>
      </w:r>
    </w:p>
    <w:p w14:paraId="25A2DFB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ROI目标：全年拉平至ROI=2.2</w:t>
      </w:r>
    </w:p>
    <w:p w14:paraId="3120D00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服务费结构：</w:t>
      </w:r>
    </w:p>
    <w:p w14:paraId="029AEA27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前期（不自播期）：15万/月服务费+5%销售佣金</w:t>
      </w:r>
    </w:p>
    <w:p w14:paraId="6E23A80D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自播启动后：20万/月服务费 + 8%销售佣金</w:t>
      </w:r>
    </w:p>
    <w:p w14:paraId="66FCE1D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达播费用占比：营销预算的50%</w:t>
      </w:r>
    </w:p>
    <w:p w14:paraId="53FEC3F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思源宋体 CN">
    <w:panose1 w:val="02020600000000000000"/>
    <w:charset w:val="86"/>
    <w:family w:val="auto"/>
    <w:pitch w:val="default"/>
    <w:sig w:usb0="20000083" w:usb1="2ADF3C1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3338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2CA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FE9AE4"/>
    <w:multiLevelType w:val="singleLevel"/>
    <w:tmpl w:val="A2FE9A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BFF02C4"/>
    <w:multiLevelType w:val="singleLevel"/>
    <w:tmpl w:val="ABFF02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CAE4BF3"/>
    <w:multiLevelType w:val="singleLevel"/>
    <w:tmpl w:val="ACAE4B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FFF7824"/>
    <w:multiLevelType w:val="singleLevel"/>
    <w:tmpl w:val="AFFF78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7DCF4C2"/>
    <w:multiLevelType w:val="singleLevel"/>
    <w:tmpl w:val="B7DCF4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AFE301E"/>
    <w:multiLevelType w:val="singleLevel"/>
    <w:tmpl w:val="BAFE30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BB1604A"/>
    <w:multiLevelType w:val="singleLevel"/>
    <w:tmpl w:val="BBB160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D3DC4E0"/>
    <w:multiLevelType w:val="singleLevel"/>
    <w:tmpl w:val="BD3DC4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E3FB752"/>
    <w:multiLevelType w:val="multilevel"/>
    <w:tmpl w:val="BE3FB752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9">
    <w:nsid w:val="BECA95C9"/>
    <w:multiLevelType w:val="singleLevel"/>
    <w:tmpl w:val="BECA95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BDFC9F"/>
    <w:multiLevelType w:val="singleLevel"/>
    <w:tmpl w:val="BFBDFC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47BCD57"/>
    <w:multiLevelType w:val="singleLevel"/>
    <w:tmpl w:val="D47BCD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777F52E"/>
    <w:multiLevelType w:val="singleLevel"/>
    <w:tmpl w:val="D777F5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BEBDF7F"/>
    <w:multiLevelType w:val="singleLevel"/>
    <w:tmpl w:val="DBEBDF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DB6EEB2"/>
    <w:multiLevelType w:val="singleLevel"/>
    <w:tmpl w:val="DDB6EE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DFAEAC7"/>
    <w:multiLevelType w:val="singleLevel"/>
    <w:tmpl w:val="DDFAEA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0B56E5F"/>
    <w:multiLevelType w:val="singleLevel"/>
    <w:tmpl w:val="E0B56E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5A3F795"/>
    <w:multiLevelType w:val="singleLevel"/>
    <w:tmpl w:val="E5A3F7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7B50915"/>
    <w:multiLevelType w:val="singleLevel"/>
    <w:tmpl w:val="E7B509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7FE8724"/>
    <w:multiLevelType w:val="singleLevel"/>
    <w:tmpl w:val="E7FE87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98E9F59"/>
    <w:multiLevelType w:val="singleLevel"/>
    <w:tmpl w:val="E98E9F59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EAFA5BF4"/>
    <w:multiLevelType w:val="singleLevel"/>
    <w:tmpl w:val="EAFA5B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BCFF829"/>
    <w:multiLevelType w:val="singleLevel"/>
    <w:tmpl w:val="EBCFF8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C5D63A4"/>
    <w:multiLevelType w:val="singleLevel"/>
    <w:tmpl w:val="EC5D63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EABB614"/>
    <w:multiLevelType w:val="singleLevel"/>
    <w:tmpl w:val="EEABB6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FBB797B"/>
    <w:multiLevelType w:val="singleLevel"/>
    <w:tmpl w:val="EFBB79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FFB6503"/>
    <w:multiLevelType w:val="singleLevel"/>
    <w:tmpl w:val="EFFB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0EE693C"/>
    <w:multiLevelType w:val="singleLevel"/>
    <w:tmpl w:val="F0EE69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6FA0D22"/>
    <w:multiLevelType w:val="singleLevel"/>
    <w:tmpl w:val="F6FA0D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7BF5555"/>
    <w:multiLevelType w:val="singleLevel"/>
    <w:tmpl w:val="F7BF555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7DE1EF9"/>
    <w:multiLevelType w:val="singleLevel"/>
    <w:tmpl w:val="F7DE1E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9FEC69C"/>
    <w:multiLevelType w:val="singleLevel"/>
    <w:tmpl w:val="F9FEC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A7F08B7"/>
    <w:multiLevelType w:val="singleLevel"/>
    <w:tmpl w:val="FA7F08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BF6391D"/>
    <w:multiLevelType w:val="singleLevel"/>
    <w:tmpl w:val="FBF639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CB60908"/>
    <w:multiLevelType w:val="singleLevel"/>
    <w:tmpl w:val="FCB6090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FDFA9C8D"/>
    <w:multiLevelType w:val="singleLevel"/>
    <w:tmpl w:val="FDFA9C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EBBB40E"/>
    <w:multiLevelType w:val="singleLevel"/>
    <w:tmpl w:val="FEBBB40E"/>
    <w:lvl w:ilvl="0" w:tentative="0">
      <w:start w:val="1"/>
      <w:numFmt w:val="decimal"/>
      <w:suff w:val="space"/>
      <w:lvlText w:val="%1."/>
      <w:lvlJc w:val="left"/>
    </w:lvl>
  </w:abstractNum>
  <w:abstractNum w:abstractNumId="37">
    <w:nsid w:val="FF5E0E55"/>
    <w:multiLevelType w:val="singleLevel"/>
    <w:tmpl w:val="FF5E0E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768B23"/>
    <w:multiLevelType w:val="singleLevel"/>
    <w:tmpl w:val="FF768B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E74783"/>
    <w:multiLevelType w:val="singleLevel"/>
    <w:tmpl w:val="FFE747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FF77D38"/>
    <w:multiLevelType w:val="singleLevel"/>
    <w:tmpl w:val="FFF77D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B56E1DF"/>
    <w:multiLevelType w:val="singleLevel"/>
    <w:tmpl w:val="1B56E1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ED74166"/>
    <w:multiLevelType w:val="singleLevel"/>
    <w:tmpl w:val="1ED741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6FE5795"/>
    <w:multiLevelType w:val="singleLevel"/>
    <w:tmpl w:val="26FE57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FABE458"/>
    <w:multiLevelType w:val="singleLevel"/>
    <w:tmpl w:val="3FABE4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FFE2099"/>
    <w:multiLevelType w:val="singleLevel"/>
    <w:tmpl w:val="3FFE20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9B5F9A3"/>
    <w:multiLevelType w:val="singleLevel"/>
    <w:tmpl w:val="59B5F9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E7C6341"/>
    <w:multiLevelType w:val="singleLevel"/>
    <w:tmpl w:val="5E7C63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5B1FCC9"/>
    <w:multiLevelType w:val="singleLevel"/>
    <w:tmpl w:val="75B1FC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A7FD9DC"/>
    <w:multiLevelType w:val="singleLevel"/>
    <w:tmpl w:val="7A7FD9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F7F2954"/>
    <w:multiLevelType w:val="singleLevel"/>
    <w:tmpl w:val="7F7F2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FED856E"/>
    <w:multiLevelType w:val="singleLevel"/>
    <w:tmpl w:val="7FED856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28"/>
  </w:num>
  <w:num w:numId="3">
    <w:abstractNumId w:val="3"/>
  </w:num>
  <w:num w:numId="4">
    <w:abstractNumId w:val="23"/>
  </w:num>
  <w:num w:numId="5">
    <w:abstractNumId w:val="15"/>
  </w:num>
  <w:num w:numId="6">
    <w:abstractNumId w:val="32"/>
  </w:num>
  <w:num w:numId="7">
    <w:abstractNumId w:val="25"/>
  </w:num>
  <w:num w:numId="8">
    <w:abstractNumId w:val="39"/>
  </w:num>
  <w:num w:numId="9">
    <w:abstractNumId w:val="50"/>
  </w:num>
  <w:num w:numId="10">
    <w:abstractNumId w:val="30"/>
  </w:num>
  <w:num w:numId="11">
    <w:abstractNumId w:val="5"/>
  </w:num>
  <w:num w:numId="12">
    <w:abstractNumId w:val="47"/>
  </w:num>
  <w:num w:numId="13">
    <w:abstractNumId w:val="26"/>
  </w:num>
  <w:num w:numId="14">
    <w:abstractNumId w:val="48"/>
  </w:num>
  <w:num w:numId="15">
    <w:abstractNumId w:val="27"/>
  </w:num>
  <w:num w:numId="16">
    <w:abstractNumId w:val="46"/>
  </w:num>
  <w:num w:numId="17">
    <w:abstractNumId w:val="16"/>
  </w:num>
  <w:num w:numId="18">
    <w:abstractNumId w:val="33"/>
  </w:num>
  <w:num w:numId="19">
    <w:abstractNumId w:val="31"/>
  </w:num>
  <w:num w:numId="20">
    <w:abstractNumId w:val="2"/>
  </w:num>
  <w:num w:numId="21">
    <w:abstractNumId w:val="12"/>
  </w:num>
  <w:num w:numId="22">
    <w:abstractNumId w:val="0"/>
  </w:num>
  <w:num w:numId="23">
    <w:abstractNumId w:val="49"/>
  </w:num>
  <w:num w:numId="24">
    <w:abstractNumId w:val="40"/>
  </w:num>
  <w:num w:numId="25">
    <w:abstractNumId w:val="14"/>
  </w:num>
  <w:num w:numId="26">
    <w:abstractNumId w:val="22"/>
  </w:num>
  <w:num w:numId="27">
    <w:abstractNumId w:val="9"/>
  </w:num>
  <w:num w:numId="28">
    <w:abstractNumId w:val="37"/>
  </w:num>
  <w:num w:numId="29">
    <w:abstractNumId w:val="18"/>
  </w:num>
  <w:num w:numId="30">
    <w:abstractNumId w:val="41"/>
  </w:num>
  <w:num w:numId="31">
    <w:abstractNumId w:val="1"/>
  </w:num>
  <w:num w:numId="32">
    <w:abstractNumId w:val="21"/>
  </w:num>
  <w:num w:numId="33">
    <w:abstractNumId w:val="19"/>
  </w:num>
  <w:num w:numId="34">
    <w:abstractNumId w:val="36"/>
  </w:num>
  <w:num w:numId="35">
    <w:abstractNumId w:val="45"/>
  </w:num>
  <w:num w:numId="36">
    <w:abstractNumId w:val="35"/>
  </w:num>
  <w:num w:numId="37">
    <w:abstractNumId w:val="7"/>
  </w:num>
  <w:num w:numId="38">
    <w:abstractNumId w:val="44"/>
  </w:num>
  <w:num w:numId="39">
    <w:abstractNumId w:val="17"/>
  </w:num>
  <w:num w:numId="40">
    <w:abstractNumId w:val="43"/>
  </w:num>
  <w:num w:numId="41">
    <w:abstractNumId w:val="6"/>
  </w:num>
  <w:num w:numId="42">
    <w:abstractNumId w:val="13"/>
  </w:num>
  <w:num w:numId="43">
    <w:abstractNumId w:val="4"/>
  </w:num>
  <w:num w:numId="44">
    <w:abstractNumId w:val="10"/>
  </w:num>
  <w:num w:numId="45">
    <w:abstractNumId w:val="20"/>
  </w:num>
  <w:num w:numId="46">
    <w:abstractNumId w:val="24"/>
  </w:num>
  <w:num w:numId="47">
    <w:abstractNumId w:val="42"/>
  </w:num>
  <w:num w:numId="48">
    <w:abstractNumId w:val="11"/>
  </w:num>
  <w:num w:numId="49">
    <w:abstractNumId w:val="38"/>
  </w:num>
  <w:num w:numId="50">
    <w:abstractNumId w:val="29"/>
  </w:num>
  <w:num w:numId="51">
    <w:abstractNumId w:val="34"/>
  </w:num>
  <w:num w:numId="5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BE5A8A"/>
    <w:rsid w:val="4FFEA7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0.jpeg"/><Relationship Id="rId41" Type="http://schemas.openxmlformats.org/officeDocument/2006/relationships/package" Target="embeddings/Workbook7.xlsx"/><Relationship Id="rId40" Type="http://schemas.openxmlformats.org/officeDocument/2006/relationships/image" Target="media/image29.jpeg"/><Relationship Id="rId4" Type="http://schemas.openxmlformats.org/officeDocument/2006/relationships/footer" Target="footer1.xml"/><Relationship Id="rId39" Type="http://schemas.openxmlformats.org/officeDocument/2006/relationships/package" Target="embeddings/Workbook6.xlsx"/><Relationship Id="rId38" Type="http://schemas.openxmlformats.org/officeDocument/2006/relationships/image" Target="media/image28.jpeg"/><Relationship Id="rId37" Type="http://schemas.openxmlformats.org/officeDocument/2006/relationships/package" Target="embeddings/Workbook5.xlsx"/><Relationship Id="rId36" Type="http://schemas.openxmlformats.org/officeDocument/2006/relationships/image" Target="media/image27.jpeg"/><Relationship Id="rId35" Type="http://schemas.openxmlformats.org/officeDocument/2006/relationships/package" Target="embeddings/Workbook4.xlsx"/><Relationship Id="rId34" Type="http://schemas.openxmlformats.org/officeDocument/2006/relationships/image" Target="media/image26.jpeg"/><Relationship Id="rId33" Type="http://schemas.openxmlformats.org/officeDocument/2006/relationships/package" Target="embeddings/Workbook3.xlsx"/><Relationship Id="rId32" Type="http://schemas.openxmlformats.org/officeDocument/2006/relationships/image" Target="media/image25.jpeg"/><Relationship Id="rId31" Type="http://schemas.openxmlformats.org/officeDocument/2006/relationships/package" Target="embeddings/Workbook2.xlsx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package" Target="embeddings/Workbook1.xlsx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3</TotalTime>
  <ScaleCrop>false</ScaleCrop>
  <LinksUpToDate>false</LinksUpToDate>
  <Application>WPS Office_12.1.22218.22218_F1E327BC-269C-435d-A152-05C5408002CA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2025-12-10T14:45:00Z</dcterms:created>
  <dc:creator>Apache POI</dc:creator>
  <cp:lastModifiedBy>曾岳</cp:lastModifiedBy>
  <dcterms:modified xsi:type="dcterms:W3CDTF">2025-12-10T16:41:38Z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F20C447EE395F9C2143239698196C038_42</vt:lpwstr>
  </property>
</Properties>
</file>