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lleqxuh7s2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LICENSE.txt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document contains the </w:t>
      </w:r>
      <w:r w:rsidDel="00000000" w:rsidR="00000000" w:rsidRPr="00000000">
        <w:rPr>
          <w:b w:val="1"/>
          <w:rtl w:val="0"/>
        </w:rPr>
        <w:t xml:space="preserve">GNU General Public License, Version 3, dated 29 June 2007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Purpose of the GNU GPL v3:</w:t>
      </w:r>
      <w:r w:rsidDel="00000000" w:rsidR="00000000" w:rsidRPr="00000000">
        <w:rPr>
          <w:rtl w:val="0"/>
        </w:rPr>
        <w:t xml:space="preserve"> The GNU General Public License is a free, "copyleft" license for software. Its primary purpose is to guarantee users the freedom to: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Run the program for any purpose.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Study how the program works and change it to make it do what they wish (requires access to source code).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Redistribute copies.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Distribute copies of their modified versions.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Key aspects of this license: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It ensures that software released under it remains free for all its users.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protects the rights of users to share and change all versions of a program.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includes a disclaimer of warranty, meaning the software is provided "as is" without guarantees.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specifies conditions for copying, distribution, and modification, including requirements to pass on the same freedoms to recipients and make source code available.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It does not permit incorporating the program into proprietary (non-free) programs.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license is crucial for defining the legal framework of how SynapseRead's code can be used, distributed, and modified by others, promoting an open and collaborative software ecosystem.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