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56"/>
          <w:szCs w:val="56"/>
        </w:rPr>
        <w:t xml:space="preserve">BUSINESS PROPOSAL</w:t>
      </w:r>
    </w:p>
    <w:p>
      <w:pPr>
        <w:spacing w:after="40"/>
        <w:jc w:val="center"/>
      </w:pPr>
      <w:r>
        <w:rPr>
          <w:color w:val="2E74B5"/>
          <w:sz w:val="24"/>
          <w:szCs w:val="24"/>
        </w:rPr>
        <w:t xml:space="preserve">UMHackathon 2026 — Final Round</w:t>
      </w:r>
    </w:p>
    <w:p>
      <w:pPr>
        <w:spacing w:after="40"/>
        <w:jc w:val="center"/>
      </w:pPr>
      <w:r>
        <w:rPr>
          <w:i/>
          <w:iCs/>
          <w:color w:val="595959"/>
          <w:sz w:val="18"/>
          <w:szCs w:val="18"/>
        </w:rPr>
        <w:t xml:space="preserve">umhackathon@um.edu.my</w:t>
      </w:r>
    </w:p>
    <w:p>
      <w:pPr>
        <w:spacing w:after="240"/>
        <w:jc w:val="center"/>
      </w:pPr>
      <w:r>
        <w:rPr>
          <w:color w:val="595959"/>
        </w:rPr>
        <w:t xml:space="preserve">_________________________________________________</w:t>
      </w:r>
    </w:p>
    <w:p>
      <w:pPr>
        <w:spacing w:after="80"/>
        <w:jc w:val="center"/>
      </w:pPr>
      <w:r>
        <w:rPr>
          <w:b/>
          <w:bCs/>
          <w:color w:val="1F3864"/>
          <w:sz w:val="64"/>
          <w:szCs w:val="64"/>
        </w:rPr>
        <w:t xml:space="preserve">UniGuide</w:t>
      </w:r>
    </w:p>
    <w:p>
      <w:pPr>
        <w:spacing w:after="80"/>
        <w:jc w:val="center"/>
      </w:pPr>
      <w:r>
        <w:rPr>
          <w:i/>
          <w:iCs/>
          <w:color w:val="2E74B5"/>
          <w:sz w:val="24"/>
          <w:szCs w:val="24"/>
        </w:rPr>
        <w:t xml:space="preserve">Your AI co-pilot for university paperwork.</w:t>
      </w:r>
    </w:p>
    <w:p>
      <w:pPr>
        <w:spacing w:after="240"/>
        <w:jc w:val="center"/>
      </w:pPr>
      <w:r>
        <w:rPr>
          <w:color w:val="595959"/>
          <w:sz w:val="16"/>
          <w:szCs w:val="16"/>
        </w:rPr>
        <w:t xml:space="preserve">Domain 1 — AI Systems &amp; Agentic Workflow Automation</w:t>
      </w:r>
    </w:p>
    <w:p>
      <w:pPr>
        <w:spacing w:after="80"/>
        <w:jc w:val="center"/>
      </w:pPr>
      <w:r>
        <w:rPr>
          <w:b/>
          <w:bCs/>
        </w:rPr>
        <w:t xml:space="preserve">Team: </w:t>
      </w:r>
      <w:r>
        <w:t xml:space="preserve">Breaking Bank · Team 108 · Universiti Malaya</w:t>
      </w:r>
    </w:p>
    <w:p>
      <w:pPr>
        <w:spacing w:after="80"/>
        <w:jc w:val="center"/>
      </w:pPr>
      <w:r>
        <w:rPr>
          <w:b/>
          <w:bCs/>
        </w:rPr>
        <w:t xml:space="preserve">Live deploy: </w:t>
      </w:r>
      <w:r>
        <w:t xml:space="preserve">uniguide-blush.vercel.app</w:t>
      </w:r>
    </w:p>
    <w:p>
      <w:pPr>
        <w:spacing w:after="80"/>
        <w:jc w:val="center"/>
      </w:pPr>
      <w:r>
        <w:rPr>
          <w:b/>
          <w:bCs/>
        </w:rPr>
        <w:t xml:space="preserve">Repository: </w:t>
      </w:r>
      <w:r>
        <w:t xml:space="preserve">github.com/ZenBen5173/uniguide</w:t>
      </w:r>
    </w:p>
    <w:p>
      <w:pPr>
        <w:spacing w:after="240"/>
        <w:jc w:val="center"/>
      </w:pPr>
      <w:r>
        <w:rPr>
          <w:b/>
          <w:bCs/>
        </w:rPr>
        <w:t xml:space="preserve">Document version: </w:t>
      </w:r>
      <w:r>
        <w:t xml:space="preserve">Final Round v1.0 · 2 May 2026</w:t>
      </w:r>
    </w:p>
    <w:p>
      <w:pPr>
        <w:spacing w:after="320"/>
        <w:jc w:val="center"/>
      </w:pPr>
      <w:r>
        <w:rPr>
          <w:i/>
          <w:iCs/>
          <w:color w:val="595959"/>
        </w:rPr>
        <w:t xml:space="preserve">[ Z.AI logo ]    [ YTL AI LABS logo ]</w:t>
      </w:r>
    </w:p>
    <w:p>
      <w:pPr>
        <w:pStyle w:val="Heading1"/>
      </w:pPr>
      <w:r>
        <w:t xml:space="preserve">1. Executive Summary</w:t>
      </w:r>
    </w:p>
    <w:p>
      <w:pPr>
        <w:spacing w:after="140"/>
      </w:pPr>
      <w:r>
        <w:t xml:space="preserve">UniGuide is an AI co-pilot platform that ends silent-fail paperwork in higher-education administration. Built on Z.AI's GLM as a hard architectural dependency — required by the UMHackathon 2026 judging rules and made visible by design — it walks Universiti Malaya students through five high-stakes administrative procedures (scholarship applications, final-year projects, deferments, exam-result appeals, postgraduate admissions) by reading the official Standard Operating Procedure (SOP) and the student's history, then asking for the next thing it needs, one step at a time.</w:t>
      </w:r>
    </w:p>
    <w:p>
      <w:pPr>
        <w:spacing w:after="140"/>
      </w:pPr>
      <w:r>
        <w:t xml:space="preserve">Coordinators receive a pre-digested briefing per submission with extracted facts, SOP-cited red flags, an AI recommendation and a confidence score. They preview AI-drafted decision letters with an automated hallucination check, then approve, reject, or request more info — with a five-minute undo. Students see decisions and letters in their portal in real time.</w:t>
      </w:r>
    </w:p>
    <w:p>
      <w:pPr>
        <w:spacing w:after="140"/>
      </w:pPr>
      <w:r>
        <w:t xml:space="preserve">The Total Addressable Market is RM 1.4 billion across Malaysia's tertiary education sector and a further RM 11 billion regionally across ASEAN. The Serviceable Addressable Market for the Year-1 to Year-3 horizon is RM 96 million across Malaysia's 20 public universities. The Serviceable Obtainable Market over the first 18 months is RM 1.1 million ARR captured across UM (the starting market) plus three additional public universities. The platform's competitive moat is structural: pull GLM out and no application can advance past Step 1, because there is no static workflow template — UniGuide is a planner-grounded application engine, not a chatbot bolted onto forms. ILMU GLM-5.1 (YTL AI Labs × Universiti Malaya) is wired in as the routable Bahasa-heavy briefing provider, giving UniGuide a sovereign-MY differentiator that foreign-stack competitors structurally cannot match.</w:t>
      </w:r>
    </w:p>
    <w:p>
      <w:pPr>
        <w:spacing w:after="140"/>
      </w:pPr>
      <w:r>
        <w:t xml:space="preserve">Revenue is generated through a B2B SaaS model billed annually per active student to the institution. Three pricing tiers — Pilot (subsidised), Growth (RM 8 / student / year for mid-size public universities), and Enterprise (RM 15 / student / year + setup fee for larger universities and MOHE-wide deployment) — yield approximately 60% gross margin per institution at the Growth tier.</w:t>
      </w:r>
    </w:p>
    <w:p>
      <w:pPr>
        <w:pStyle w:val="Heading1"/>
      </w:pPr>
      <w:r>
        <w:t xml:space="preserve">2. Product Overview / Solution</w:t>
      </w:r>
    </w:p>
    <w:p>
      <w:pPr>
        <w:pStyle w:val="Heading2"/>
      </w:pPr>
      <w:r>
        <w:t xml:space="preserve">Key Features</w:t>
      </w:r>
    </w:p>
    <w:p>
      <w:pPr>
        <w:pStyle w:val="ListParagraph"/>
        <w:numPr>
          <w:ilvl w:val="0"/>
          <w:numId w:val="2"/>
        </w:numPr>
        <w:spacing w:after="60"/>
      </w:pPr>
      <w:r>
        <w:rPr>
          <w:b/>
          <w:bCs/>
        </w:rPr>
        <w:t xml:space="preserve">AI step planning grounded in the official SOP. </w:t>
      </w:r>
      <w:r>
        <w:t xml:space="preserve">GLM reads SOP excerpts and the student's history at every turn and emits the next step with citations. No static template.</w:t>
      </w:r>
    </w:p>
    <w:p>
      <w:pPr>
        <w:pStyle w:val="ListParagraph"/>
        <w:numPr>
          <w:ilvl w:val="0"/>
          <w:numId w:val="2"/>
        </w:numPr>
        <w:spacing w:after="60"/>
      </w:pPr>
      <w:r>
        <w:rPr>
          <w:b/>
          <w:bCs/>
        </w:rPr>
        <w:t xml:space="preserve">Inline document understanding. </w:t>
      </w:r>
      <w:r>
        <w:t xml:space="preserve">Uploaded PDFs (income proofs, transcripts, supporting letters) are text-extracted and structured-parsed so the AI doesn't re-ask for facts already in the document.</w:t>
      </w:r>
    </w:p>
    <w:p>
      <w:pPr>
        <w:pStyle w:val="ListParagraph"/>
        <w:numPr>
          <w:ilvl w:val="0"/>
          <w:numId w:val="2"/>
        </w:numPr>
        <w:spacing w:after="60"/>
      </w:pPr>
      <w:r>
        <w:rPr>
          <w:b/>
          <w:bCs/>
        </w:rPr>
        <w:t xml:space="preserve">SOP-grounded coordinator briefing. </w:t>
      </w:r>
      <w:r>
        <w:t xml:space="preserve">Each submission arrives pre-digested with extracted facts, flags that quote the specific SOP rule (e.g. 'SOP §4.2 requires CGPA ≥ 3.00; student has 2.84'), an AI recommendation, and a confidence score.</w:t>
      </w:r>
    </w:p>
    <w:p>
      <w:pPr>
        <w:pStyle w:val="ListParagraph"/>
        <w:numPr>
          <w:ilvl w:val="0"/>
          <w:numId w:val="2"/>
        </w:numPr>
        <w:spacing w:after="60"/>
      </w:pPr>
      <w:r>
        <w:rPr>
          <w:b/>
          <w:bCs/>
        </w:rPr>
        <w:t xml:space="preserve">AI-drafted decision letters with hallucination check. </w:t>
      </w:r>
      <w:r>
        <w:t xml:space="preserve">GLM fills the procedure's letter template; a regex layer verifies every name, matric, CGPA, year, faculty and programme mention against the student's record before send. Coordinator-as-final-reviewer with a 5-minute undo.</w:t>
      </w:r>
    </w:p>
    <w:p>
      <w:pPr>
        <w:pStyle w:val="ListParagraph"/>
        <w:numPr>
          <w:ilvl w:val="0"/>
          <w:numId w:val="2"/>
        </w:numPr>
        <w:spacing w:after="60"/>
      </w:pPr>
      <w:r>
        <w:rPr>
          <w:b/>
          <w:bCs/>
        </w:rPr>
        <w:t xml:space="preserve">Plan-mode confirmation on Request More Info. </w:t>
      </w:r>
      <w:r>
        <w:t xml:space="preserve">The AI's proposed question is shown in a preview modal with editable text; the coordinator confirms before it reaches the student.</w:t>
      </w:r>
    </w:p>
    <w:p>
      <w:pPr>
        <w:pStyle w:val="ListParagraph"/>
        <w:numPr>
          <w:ilvl w:val="0"/>
          <w:numId w:val="2"/>
        </w:numPr>
        <w:spacing w:after="60"/>
      </w:pPr>
      <w:r>
        <w:rPr>
          <w:b/>
          <w:bCs/>
        </w:rPr>
        <w:t xml:space="preserve">Coordinator coassist (Cowork-style). </w:t>
      </w:r>
      <w:r>
        <w:t xml:space="preserve">Natural-language 'tweak this' channel for letter, proposed step, and briefing reasoning — say 'make it softer' or 'add the appeal info paragraph' and the AI revises inline.</w:t>
      </w:r>
    </w:p>
    <w:p>
      <w:pPr>
        <w:pStyle w:val="ListParagraph"/>
        <w:numPr>
          <w:ilvl w:val="0"/>
          <w:numId w:val="2"/>
        </w:numPr>
        <w:spacing w:after="60"/>
      </w:pPr>
      <w:r>
        <w:rPr>
          <w:b/>
          <w:bCs/>
        </w:rPr>
        <w:t xml:space="preserve">Always-on student AI chat with hybrid escalation. </w:t>
      </w:r>
      <w:r>
        <w:t xml:space="preserve">Side panel grounded in SOP + step + history. One-click escalation creates a coordinator-visible Triage entry without blocking submit; chat thread is shared across roles.</w:t>
      </w:r>
    </w:p>
    <w:p>
      <w:pPr>
        <w:pStyle w:val="ListParagraph"/>
        <w:numPr>
          <w:ilvl w:val="0"/>
          <w:numId w:val="2"/>
        </w:numPr>
        <w:spacing w:after="60"/>
      </w:pPr>
      <w:r>
        <w:rPr>
          <w:b/>
          <w:bCs/>
        </w:rPr>
        <w:t xml:space="preserve">Production observability. </w:t>
      </w:r>
      <w:r>
        <w:t xml:space="preserve">/admin/glm-traces (every AI call audited), /admin/cost (14-day token spend by model/endpoint/day), /admin/analytics (KPIs and per-procedure status mix).</w:t>
      </w:r>
    </w:p>
    <w:p>
      <w:pPr>
        <w:pStyle w:val="ListParagraph"/>
        <w:numPr>
          <w:ilvl w:val="0"/>
          <w:numId w:val="2"/>
        </w:numPr>
        <w:spacing w:after="60"/>
      </w:pPr>
      <w:r>
        <w:rPr>
          <w:b/>
          <w:bCs/>
        </w:rPr>
        <w:t xml:space="preserve">Resilience-first design. </w:t>
      </w:r>
      <w:r>
        <w:t xml:space="preserve">Mock-mode auto-fallback fixtures so the demo never collapses; fallback briefing on submit failure; raw template on letter-fill failure; preview-step fallback path.</w:t>
      </w:r>
    </w:p>
    <w:p>
      <w:pPr>
        <w:pStyle w:val="Heading2"/>
      </w:pPr>
      <w:r>
        <w:t xml:space="preserve">Technology Used</w:t>
      </w:r>
    </w:p>
    <w:p>
      <w:pPr>
        <w:pStyle w:val="ListParagraph"/>
        <w:numPr>
          <w:ilvl w:val="0"/>
          <w:numId w:val="2"/>
        </w:numPr>
        <w:spacing w:after="60"/>
      </w:pPr>
      <w:r>
        <w:rPr>
          <w:b/>
          <w:bCs/>
        </w:rPr>
        <w:t xml:space="preserve">Z.AI GLM-4.6 + GLM-4.5-flash. </w:t>
      </w:r>
      <w:r>
        <w:t xml:space="preserve">Mandatory model per UMHackathon 2026 judging rules. Eight call-sites in lib/glm/ — every one logged to glm_reasoning_trace with prompt-hash for audit reproducibility.</w:t>
      </w:r>
    </w:p>
    <w:p>
      <w:pPr>
        <w:pStyle w:val="ListParagraph"/>
        <w:numPr>
          <w:ilvl w:val="0"/>
          <w:numId w:val="2"/>
        </w:numPr>
        <w:spacing w:after="60"/>
      </w:pPr>
      <w:r>
        <w:rPr>
          <w:b/>
          <w:bCs/>
        </w:rPr>
        <w:t xml:space="preserve">ILMU GLM-5.1 (YTL AI Labs × UM). </w:t>
      </w:r>
      <w:r>
        <w:t xml:space="preserve">Malaysian-sovereign LLM routable for the coordinator-briefing call when Bahasa-heavy content is in play. Same prompt and schema as Z.AI; one env flag toggles provider.</w:t>
      </w:r>
    </w:p>
    <w:p>
      <w:pPr>
        <w:pStyle w:val="ListParagraph"/>
        <w:numPr>
          <w:ilvl w:val="0"/>
          <w:numId w:val="2"/>
        </w:numPr>
        <w:spacing w:after="60"/>
      </w:pPr>
      <w:r>
        <w:rPr>
          <w:b/>
          <w:bCs/>
        </w:rPr>
        <w:t xml:space="preserve">Next.js 15 (App Router) + TypeScript strict + Zod. </w:t>
      </w:r>
      <w:r>
        <w:t xml:space="preserve">Server-rendered, edge-friendly. Strict TS catches schema drift at build; Zod validates every API request body at runtime.</w:t>
      </w:r>
    </w:p>
    <w:p>
      <w:pPr>
        <w:pStyle w:val="ListParagraph"/>
        <w:numPr>
          <w:ilvl w:val="0"/>
          <w:numId w:val="2"/>
        </w:numPr>
        <w:spacing w:after="60"/>
      </w:pPr>
      <w:r>
        <w:rPr>
          <w:b/>
          <w:bCs/>
        </w:rPr>
        <w:t xml:space="preserve">Supabase (Postgres 17 + Auth + Storage + Realtime + pgvector). </w:t>
      </w:r>
      <w:r>
        <w:t xml:space="preserve">Row-level security on every PII-bearing table; realtime publication on applications, application_steps, application_letters, application_messages with REPLICA IDENTITY FULL for filtered UPDATE events; pgvector ready for semantic SOP search at scale.</w:t>
      </w:r>
    </w:p>
    <w:p>
      <w:pPr>
        <w:pStyle w:val="ListParagraph"/>
        <w:numPr>
          <w:ilvl w:val="0"/>
          <w:numId w:val="2"/>
        </w:numPr>
        <w:spacing w:after="60"/>
      </w:pPr>
      <w:r>
        <w:rPr>
          <w:b/>
          <w:bCs/>
        </w:rPr>
        <w:t xml:space="preserve">Vercel (sin1, Singapore). </w:t>
      </w:r>
      <w:r>
        <w:t xml:space="preserve">Auto-deploy on git push to main; ~70ms RTT to Supabase ap-northeast-2 (Seoul). Preview environments per pull request.</w:t>
      </w:r>
    </w:p>
    <w:p>
      <w:pPr>
        <w:pStyle w:val="ListParagraph"/>
        <w:numPr>
          <w:ilvl w:val="0"/>
          <w:numId w:val="2"/>
        </w:numPr>
        <w:spacing w:after="60"/>
      </w:pPr>
      <w:r>
        <w:rPr>
          <w:b/>
          <w:bCs/>
        </w:rPr>
        <w:t xml:space="preserve">pdf-parse for inline document text extraction. </w:t>
      </w:r>
      <w:r>
        <w:t xml:space="preserve">Real-text PDFs are extracted and structured-parsed via the parseDocument GLM call; image-only PDFs are explicitly rejected (OCR is on the post-finals roadmap).</w:t>
      </w:r>
    </w:p>
    <w:p>
      <w:pPr>
        <w:pStyle w:val="Heading1"/>
      </w:pPr>
      <w:r>
        <w:t xml:space="preserve">3. Market Research &amp; Market Dynamics</w:t>
      </w:r>
    </w:p>
    <w:p>
      <w:pPr>
        <w:pStyle w:val="Heading2"/>
      </w:pPr>
      <w:r>
        <w:t xml:space="preserve">3.1 Problem Landscape</w:t>
      </w:r>
    </w:p>
    <w:p>
      <w:pPr>
        <w:spacing w:after="140"/>
      </w:pPr>
      <w:r>
        <w:t xml:space="preserve">UM students lose semesters to silent-fail paperwork. Scholarship applications miss income-tier rules buried in paragraph six of an SOP PDF. Final-year-project registration stalls for weeks because supervisor confirmation arrives in the wrong format. Deferment requests bounce between three offices because the eligibility ladder is non-obvious. The cost is borne overwhelmingly by students from families that cannot afford a wasted year.</w:t>
      </w:r>
    </w:p>
    <w:p>
      <w:pPr>
        <w:spacing w:after="140"/>
      </w:pPr>
      <w:r>
        <w:t xml:space="preserve">The system is also expensive for the institution. Coordinators triage hundreds of submissions per intake, repeating identical eligibility checks by eye. Decision letters are hand-written from templates so wording inconsistencies slip past review. Audit traceability is patchy — there is no single record of how a particular decision was reached. Service-level expectations slip because the inbox is FIFO rather than risk-weighted.</w:t>
      </w:r>
    </w:p>
    <w:p>
      <w:pPr>
        <w:spacing w:after="140"/>
      </w:pPr>
      <w:r>
        <w:t xml:space="preserve">Existing solutions do not close the gap. UM's portals (MAYA, SiswaMail, SPeCTRUM, AskUM) are systems of record, not assistants. Generic LLM chatbots (ChatGPT, Claude, Gemini) hallucinate UM-specific policy and have no integration with student records. Prior in-house chatbot pilots have been form-filling layers, not planners — they cannot adapt to a student whose situation diverges from the happy path.</w:t>
      </w:r>
    </w:p>
    <w:p>
      <w:pPr>
        <w:pStyle w:val="Heading2"/>
      </w:pPr>
      <w:r>
        <w:t xml:space="preserve">3.2 Market Niche</w:t>
      </w:r>
    </w:p>
    <w:p>
      <w:pPr>
        <w:spacing w:after="140"/>
      </w:pPr>
      <w:r>
        <w:t xml:space="preserve">UniGuide targets two stakeholders inside every institutional customer. The primary user is the undergraduate or postgraduate student navigating administrative paperwork — particularly first-generation university students from B40 households whose families cannot subsidise a wasted semester, and international students subject to additional EMGS visa procedures. The secondary user is the administrative coordinator inside HEP, faculty academic offices, and the Institute of Graduate Studies, whose triage capacity is the practical throughput limit for the institution.</w:t>
      </w:r>
    </w:p>
    <w:p>
      <w:pPr>
        <w:spacing w:after="140"/>
      </w:pPr>
      <w:r>
        <w:t xml:space="preserve">Geographically, the niche is Malaysian public and private universities first (a regulatory and cultural fit because procedures share regulatory parents in MOHE, JPA and EMGS), with Indonesia and Singapore as the two highest-potential expansion markets in ASEAN. The MY-sovereign-LLM (ILMU) routing is a structural differentiator for government-sector procurement specifically — no foreign-stack competitor can match it without rebuilding.</w:t>
      </w:r>
    </w:p>
    <w:p>
      <w:pPr>
        <w:pStyle w:val="Heading2"/>
      </w:pPr>
      <w:r>
        <w:t xml:space="preserve">3.3 Market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Market Tier</w:t>
            </w:r>
          </w:p>
        </w:tc>
        <w:tc>
          <w:tcPr>
            <w:tcW w:type="dxa" w:w="4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Definition</w:t>
            </w:r>
          </w:p>
        </w:tc>
        <w:tc>
          <w:tcPr>
            <w:tcW w:type="dxa" w:w="2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Estimated Value (2026)</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TAM</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Total Addressable Market — all tertiary administrative procedures across ASEAN (~12M students × estimated RM 80–120 of admin-process cost per student per year, including coordinator time, letter rework, and student-incurred friction).</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1.2 billion (MY) / RM 11 billion (ASEAN)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SAM</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Serviceable Addressable Market — Malaysian public + private universities reachable through direct sales and MOHE introduction within a 3-year horizon (~1.2M MY students).</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96 million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SOM</w:t>
            </w:r>
          </w:p>
        </w:tc>
        <w:tc>
          <w:tcPr>
            <w:tcW w:type="dxa" w:w="4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Serviceable Obtainable Market — realistic capture in the first 18 months: UM (the starting market) plus three additional public universities at the Growth tier.</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1.1 million ARR</w:t>
            </w:r>
          </w:p>
        </w:tc>
      </w:tr>
    </w:tbl>
    <w:p>
      <w:pPr>
        <w:pStyle w:val="Heading2"/>
      </w:pPr>
      <w:r>
        <w:t xml:space="preserve">3.4 Market Dynamics &amp; Placement</w:t>
      </w:r>
    </w:p>
    <w:p>
      <w:pPr>
        <w:spacing w:after="140"/>
      </w:pPr>
      <w:r>
        <w:t xml:space="preserve">Five forces shape UniGuide's entry into this market.</w:t>
      </w:r>
    </w:p>
    <w:p>
      <w:pPr>
        <w:pStyle w:val="ListParagraph"/>
        <w:numPr>
          <w:ilvl w:val="0"/>
          <w:numId w:val="2"/>
        </w:numPr>
        <w:spacing w:after="60"/>
      </w:pPr>
      <w:r>
        <w:rPr>
          <w:b/>
          <w:bCs/>
        </w:rPr>
        <w:t xml:space="preserve">AI-native institutional appetite. </w:t>
      </w:r>
      <w:r>
        <w:t xml:space="preserve">Universiti Malaya has visible appetite for AI augmentation through its existing partnerships with YTL AI Labs (the ILMU programme) and with Z.AI directly. The institutional surface area for an AI co-pilot is open and supported.</w:t>
      </w:r>
    </w:p>
    <w:p>
      <w:pPr>
        <w:pStyle w:val="ListParagraph"/>
        <w:numPr>
          <w:ilvl w:val="0"/>
          <w:numId w:val="2"/>
        </w:numPr>
        <w:spacing w:after="60"/>
      </w:pPr>
      <w:r>
        <w:rPr>
          <w:b/>
          <w:bCs/>
        </w:rPr>
        <w:t xml:space="preserve">MY-sovereign-LLM tailwind. </w:t>
      </w:r>
      <w:r>
        <w:t xml:space="preserve">The Malaysian government is increasingly explicit about preferring sovereign AI for public services. ILMU is the local stack; UniGuide ships with ILMU routing on day one. This is a procurement advantage no foreign-built competitor can replicate without a rebuild.</w:t>
      </w:r>
    </w:p>
    <w:p>
      <w:pPr>
        <w:pStyle w:val="ListParagraph"/>
        <w:numPr>
          <w:ilvl w:val="0"/>
          <w:numId w:val="2"/>
        </w:numPr>
        <w:spacing w:after="60"/>
      </w:pPr>
      <w:r>
        <w:rPr>
          <w:b/>
          <w:bCs/>
        </w:rPr>
        <w:t xml:space="preserve">Procedural homogeneity across MY public universities. </w:t>
      </w:r>
      <w:r>
        <w:t xml:space="preserve">Public universities share regulatory parents (MOHE, JPA, EMGS for international students), so a pattern that works for UM should generalise across the segment with low per-institution customisation cost — primarily SOP uploads and letter-template edits, not engineering work.</w:t>
      </w:r>
    </w:p>
    <w:p>
      <w:pPr>
        <w:pStyle w:val="ListParagraph"/>
        <w:numPr>
          <w:ilvl w:val="0"/>
          <w:numId w:val="2"/>
        </w:numPr>
        <w:spacing w:after="60"/>
      </w:pPr>
      <w:r>
        <w:rPr>
          <w:b/>
          <w:bCs/>
        </w:rPr>
        <w:t xml:space="preserve">Coordinator burnout pressure. </w:t>
      </w:r>
      <w:r>
        <w:t xml:space="preserve">Administrative offices are chronically understaffed relative to student volume. Cost-per-decision matters; tools that materially reduce coordinator-time-per-case have a clear ROI story.</w:t>
      </w:r>
    </w:p>
    <w:p>
      <w:pPr>
        <w:pStyle w:val="ListParagraph"/>
        <w:numPr>
          <w:ilvl w:val="0"/>
          <w:numId w:val="2"/>
        </w:numPr>
        <w:spacing w:after="60"/>
      </w:pPr>
      <w:r>
        <w:rPr>
          <w:b/>
          <w:bCs/>
        </w:rPr>
        <w:t xml:space="preserve">Demonstrable starting-market traction. </w:t>
      </w:r>
      <w:r>
        <w:t xml:space="preserve">UniGuide is already deployed at uniguide-blush.vercel.app with the full student → AI → coordinator → letter loop working on real Z.AI calls. The product is not a slideware concept; it is shipped working software, on the live URL, with realistic seed data covering nine sample applications across four procedures.</w:t>
      </w:r>
    </w:p>
    <w:p>
      <w:pPr>
        <w:pStyle w:val="Heading1"/>
      </w:pPr>
      <w:r>
        <w:t xml:space="preserve">4. Value Proposition &amp; Competitive Advantage</w:t>
      </w:r>
    </w:p>
    <w:p>
      <w:pPr>
        <w:spacing w:after="140"/>
      </w:pPr>
      <w:r>
        <w:t xml:space="preserve">UniGuide's competitive advantage is not a feature; it is the architecture. The decision to make Z.AI's GLM the runtime planner — rather than a layer on top of a static workflow — means the product cannot be replicated by a competitor without committing to the same architectural choice. Static-workflow chatbots cannot adapt to a student whose situation diverges from the happy path; UniGuide replans on every step. SOP changes propagate immediately because the AI re-reads the SOP every turn; the competitor pattern requires engineering work per SOP update.</w:t>
      </w:r>
    </w:p>
    <w:p>
      <w:pPr>
        <w:spacing w:after="140"/>
      </w:pPr>
      <w:r>
        <w:t xml:space="preserve">Three additional moat layers reinforce this. First, the ILMU sovereign-MY routing is structural — it cannot be replicated without YTL AI Labs and UM partnerships, which are inherently Malaysian. Second, the resilience design (mock-fallback, fallback briefing, raw-template fallback letter, preview-step fallback) means UniGuide demonstrates working software in any conditions, including provider outages — competitors with a single AI dependency collapse when that dependency fails. Third, the production observability (audit trail of every AI call with input, output, latency, tokens, confidence; per-day token-cost rollup) gives institutional buyers compliance comfort that a pure-API competitor structurally cannot offer.</w:t>
      </w:r>
    </w:p>
    <w:p>
      <w:pPr>
        <w:spacing w:after="140"/>
      </w:pPr>
      <w:r>
        <w:t xml:space="preserve">UniGuide's value proposition for each stakeholder, expressed as the one thing they get that no competitor offers:</w:t>
      </w:r>
    </w:p>
    <w:p>
      <w:pPr>
        <w:pStyle w:val="ListParagraph"/>
        <w:numPr>
          <w:ilvl w:val="0"/>
          <w:numId w:val="2"/>
        </w:numPr>
        <w:spacing w:after="60"/>
      </w:pPr>
      <w:r>
        <w:rPr>
          <w:b/>
          <w:bCs/>
        </w:rPr>
        <w:t xml:space="preserve">Students: </w:t>
      </w:r>
      <w:r>
        <w:t xml:space="preserve">an AI helper that already knows the SOP, your transcript, your income tier, and the language you are most comfortable in.</w:t>
      </w:r>
    </w:p>
    <w:p>
      <w:pPr>
        <w:pStyle w:val="ListParagraph"/>
        <w:numPr>
          <w:ilvl w:val="0"/>
          <w:numId w:val="2"/>
        </w:numPr>
        <w:spacing w:after="60"/>
      </w:pPr>
      <w:r>
        <w:rPr>
          <w:b/>
          <w:bCs/>
        </w:rPr>
        <w:t xml:space="preserve">Coordinators: </w:t>
      </w:r>
      <w:r>
        <w:t xml:space="preserve">a pre-digested triage queue with SOP-cited flags and an AI-drafted, hallucination-checked letter for every decision.</w:t>
      </w:r>
    </w:p>
    <w:p>
      <w:pPr>
        <w:pStyle w:val="ListParagraph"/>
        <w:numPr>
          <w:ilvl w:val="0"/>
          <w:numId w:val="2"/>
        </w:numPr>
        <w:spacing w:after="60"/>
      </w:pPr>
      <w:r>
        <w:rPr>
          <w:b/>
          <w:bCs/>
        </w:rPr>
        <w:t xml:space="preserve">Administrators: </w:t>
      </w:r>
      <w:r>
        <w:t xml:space="preserve">complete auditability of every AI decision, with live cost monitoring and the option to route through Malaysian-sovereign infrastructure.</w:t>
      </w:r>
    </w:p>
    <w:p>
      <w:pPr>
        <w:pStyle w:val="ListParagraph"/>
        <w:numPr>
          <w:ilvl w:val="0"/>
          <w:numId w:val="2"/>
        </w:numPr>
        <w:spacing w:after="60"/>
      </w:pPr>
      <w:r>
        <w:rPr>
          <w:b/>
          <w:bCs/>
        </w:rPr>
        <w:t xml:space="preserve">Institutions: </w:t>
      </w:r>
      <w:r>
        <w:t xml:space="preserve">higher decision throughput, lower coordinator burnout, and a reference implementation that proves Malaysia can build AI-native public services on the local LLM stack.</w:t>
      </w:r>
    </w:p>
    <w:p>
      <w:pPr>
        <w:pStyle w:val="Heading1"/>
      </w:pPr>
      <w:r>
        <w:t xml:space="preserve">5. Competitor Analysis (Porter's Five Forces)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Force</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Intensity</w:t>
            </w:r>
          </w:p>
        </w:tc>
        <w:tc>
          <w:tcPr>
            <w:tcW w:type="dxa" w:w="5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Assessment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Competitive Rivalry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and prior in-house form-filling pilots exist, but none combine SOP-grounded planning with hallucination-checked letter generation and sovereign-MY AI routing. UniGuide's closest competitor is the status quo (paper, email, in-person) which is itself the dominant pattern.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Threat of New Entrants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Medium-High</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 well-funded foreign chatbot platform could enter on the technical surface within 6–9 months. The ILMU sovereign-MY routing and the deep SOP-integration depth raise the barrier specifically for the government-sector segment, where data residency and Malaysian-LLM preference are explicit procurement criteria.</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Bargaining Power of Buyers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Universities have institutional buying cycles measured in months, not weeks, but switching cost once UniGuide is integrated with letter templates and SOPs is meaningful. First-mover advantage at UM will be retained through workflow embedding, not just price.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Bargaining Power of Suppliers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is the mandatory model for the hackathon and the primary provider. Concentration is mitigated by the dual-provider architecture (ILMU is routable for the briefing call; client interfaces are identical) and by the mock-fallback fixtures that decouple demo readiness from any single provider's uptime.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Threat of Substitutes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Low-Medium</w:t>
            </w:r>
          </w:p>
        </w:tc>
        <w:tc>
          <w:tcPr>
            <w:tcW w:type="dxa" w:w="5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The substitute is the manual paper / email / in-person workflow that exists today. It is viable in the technical sense but has measurable cost in coordinator time and student outcomes. Substitutes do not address the root cause (silent-fail paperwork) — they ARE the root cause.</w:t>
            </w:r>
          </w:p>
        </w:tc>
      </w:tr>
    </w:tbl>
    <w:p>
      <w:pPr>
        <w:pStyle w:val="Heading2"/>
      </w:pPr>
      <w:r>
        <w:t xml:space="preserve">Competitor Comparison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700"/>
        <w:gridCol w:w="17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Competitor</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Strength</w:t>
            </w:r>
          </w:p>
        </w:tc>
        <w:tc>
          <w:tcPr>
            <w:tcW w:type="dxa" w:w="27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Weakness</w:t>
            </w:r>
          </w:p>
        </w:tc>
        <w:tc>
          <w:tcPr>
            <w:tcW w:type="dxa" w:w="1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UniGuide's Advantage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existing portals (MAYA, SiswaMail, SPeCTRUM, AskUM)</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System-of-record for student data; trusted institutional touchpoints; existing student adoption.</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Forms-only UX. No planner. No briefing. No letter generation. No integration narrative.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UniGuide sits on top, plans the journey, and integrates rather than replaces.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Generic LLM chatbots (ChatGPT, Claude, Gemini)</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Strong open-domain QA; cheap and fast.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Hallucinate UM-specific policy; no SOP grounding; no record integration; no audit trail; no sovereign-MY option.</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SOP-grounded answers with citations; integrates student records; full audit log; ILMU routing.</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In-house form-filling chatbots (prior pilots)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Cheaper to maintain than UniGuide; trusted by the institution because in-house.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Static decision trees; cannot adapt to non-happy-path; engineering cost per SOP update.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Dynamic replanning on every step; SOP updates take effect on the next call.</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Custom-built bespoke integrations (per-procedure)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Tailored exactly to the institution's needs.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Cost-per-procedure scales linearly. New procedures require new code.</w:t>
            </w:r>
          </w:p>
        </w:tc>
        <w:tc>
          <w:tcPr>
            <w:tcW w:type="dxa" w:w="1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Same planner code for every procedure; only the SOP and letter templates change.</w:t>
            </w:r>
          </w:p>
        </w:tc>
      </w:tr>
    </w:tbl>
    <w:p>
      <w:pPr>
        <w:pStyle w:val="Heading1"/>
      </w:pPr>
      <w:r>
        <w:t xml:space="preserve">6. Business Model Canvas</w:t>
      </w:r>
    </w:p>
    <w:p>
      <w:pPr>
        <w:pStyle w:val="Heading2"/>
      </w:pPr>
      <w:r>
        <w:t xml:space="preserve">6.1 Customer Segmentation</w:t>
      </w:r>
    </w:p>
    <w:p>
      <w:pPr>
        <w:pStyle w:val="ListParagraph"/>
        <w:numPr>
          <w:ilvl w:val="0"/>
          <w:numId w:val="2"/>
        </w:numPr>
        <w:spacing w:after="60"/>
      </w:pPr>
      <w:r>
        <w:rPr>
          <w:b/>
          <w:bCs/>
        </w:rPr>
        <w:t xml:space="preserve">Universities (primary customer). </w:t>
      </w:r>
      <w:r>
        <w:t xml:space="preserve">Institutional buyer signing a per-active-student-per-year contract. Decision-makers: Pejabat Hal Ehwal Pelajar, Institute of Graduate Studies, Centre of Innovation, Bursar. Procurement cycle: 2–6 months.</w:t>
      </w:r>
    </w:p>
    <w:p>
      <w:pPr>
        <w:pStyle w:val="ListParagraph"/>
        <w:numPr>
          <w:ilvl w:val="0"/>
          <w:numId w:val="2"/>
        </w:numPr>
        <w:spacing w:after="60"/>
      </w:pPr>
      <w:r>
        <w:rPr>
          <w:b/>
          <w:bCs/>
        </w:rPr>
        <w:t xml:space="preserve">Students (primary user, indirect customer). </w:t>
      </w:r>
      <w:r>
        <w:t xml:space="preserve">Undergraduates and postgraduates, especially first-generation B40 students and international students subject to EMGS procedures. Direct beneficiaries; institutional licence covers their access at no individual cost.</w:t>
      </w:r>
    </w:p>
    <w:p>
      <w:pPr>
        <w:pStyle w:val="ListParagraph"/>
        <w:numPr>
          <w:ilvl w:val="0"/>
          <w:numId w:val="2"/>
        </w:numPr>
        <w:spacing w:after="60"/>
      </w:pPr>
      <w:r>
        <w:rPr>
          <w:b/>
          <w:bCs/>
        </w:rPr>
        <w:t xml:space="preserve">Coordinators / Admin staff (secondary user, internal champion). </w:t>
      </w:r>
      <w:r>
        <w:t xml:space="preserve">HEP officers, faculty academic staff, IGS coordinators. The user whose daily workflow benefits most; typically the strongest internal advocate during procurement.</w:t>
      </w:r>
    </w:p>
    <w:p>
      <w:pPr>
        <w:pStyle w:val="ListParagraph"/>
        <w:numPr>
          <w:ilvl w:val="0"/>
          <w:numId w:val="2"/>
        </w:numPr>
        <w:spacing w:after="60"/>
      </w:pPr>
      <w:r>
        <w:rPr>
          <w:b/>
          <w:bCs/>
        </w:rPr>
        <w:t xml:space="preserve">Ministry of Higher Education / GovTech track. </w:t>
      </w:r>
      <w:r>
        <w:t xml:space="preserve">Long-cycle institutional buyer interested in MY-sovereign deployment of educational AI infrastructure. Phase 2+ growth path.</w:t>
      </w:r>
    </w:p>
    <w:p>
      <w:pPr>
        <w:pStyle w:val="Heading2"/>
      </w:pPr>
      <w:r>
        <w:t xml:space="preserve">6.2 Revenue Stream</w:t>
      </w:r>
    </w:p>
    <w:p>
      <w:pPr>
        <w:pStyle w:val="ListParagraph"/>
        <w:numPr>
          <w:ilvl w:val="0"/>
          <w:numId w:val="2"/>
        </w:numPr>
        <w:spacing w:after="60"/>
      </w:pPr>
      <w:r>
        <w:rPr>
          <w:b/>
          <w:bCs/>
        </w:rPr>
        <w:t xml:space="preserve">Primary — annual SaaS licence per active student (B2B). </w:t>
      </w:r>
      <w:r>
        <w:t xml:space="preserve">Three tiers: Pilot (subsidised co-fund with the institution), Growth at RM 8 / student / year, Enterprise at RM 15 / student / year + setup fee.</w:t>
      </w:r>
    </w:p>
    <w:p>
      <w:pPr>
        <w:pStyle w:val="ListParagraph"/>
        <w:numPr>
          <w:ilvl w:val="0"/>
          <w:numId w:val="2"/>
        </w:numPr>
        <w:spacing w:after="60"/>
      </w:pPr>
      <w:r>
        <w:rPr>
          <w:b/>
          <w:bCs/>
        </w:rPr>
        <w:t xml:space="preserve">Secondary — implementation &amp; onboarding services. </w:t>
      </w:r>
      <w:r>
        <w:t xml:space="preserve">Per-procedure SOP authoring assistance and letter-template migration. RM 8,000 per procedure beyond the standard 5 covered in Growth tier.</w:t>
      </w:r>
    </w:p>
    <w:p>
      <w:pPr>
        <w:pStyle w:val="ListParagraph"/>
        <w:numPr>
          <w:ilvl w:val="0"/>
          <w:numId w:val="2"/>
        </w:numPr>
        <w:spacing w:after="60"/>
      </w:pPr>
      <w:r>
        <w:rPr>
          <w:b/>
          <w:bCs/>
        </w:rPr>
        <w:t xml:space="preserve">Secondary — premium model routing. </w:t>
      </w:r>
      <w:r>
        <w:t xml:space="preserve">Optional surcharge for ILMU GLM-5.1 routing (~RM 1.50 / student / year) for institutions with sovereign-MY deployment requirements.</w:t>
      </w:r>
    </w:p>
    <w:p>
      <w:pPr>
        <w:pStyle w:val="ListParagraph"/>
        <w:numPr>
          <w:ilvl w:val="0"/>
          <w:numId w:val="2"/>
        </w:numPr>
        <w:spacing w:after="60"/>
      </w:pPr>
      <w:r>
        <w:rPr>
          <w:b/>
          <w:bCs/>
        </w:rPr>
        <w:t xml:space="preserve">Optional — analytics &amp; reporting add-on. </w:t>
      </w:r>
      <w:r>
        <w:t xml:space="preserve">RM 12,000 / institution / year for advanced cohort analytics and external reporting integrations (e.g. JPA scholarship reporting).</w:t>
      </w:r>
    </w:p>
    <w:p>
      <w:pPr>
        <w:pStyle w:val="Heading2"/>
      </w:pPr>
      <w:r>
        <w:t xml:space="preserve">6.3 Cost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Cost Drivers</w:t>
            </w:r>
          </w:p>
        </w:tc>
        <w:tc>
          <w:tcPr>
            <w:tcW w:type="dxa" w:w="4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Cost Type</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Core engineering team — feature development, maintenance, security, dependency hygiene.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Fixed Cost</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Hosting infrastructure — Vercel Pro tier and Supabase Pro tier; per-region pinning fees.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Fixed Cost (with usage-tier step changes)</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inference — Z.AI GLM-4.6/4.5-flash and ILMU GLM-5.1 token consumption per submission.</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Variable Cost (per submission)</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Customer success and onboarding — per-institution implementation, SOP authoring assistance, training.</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Variable Cost (per institution)</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Sales, marketing, and partner-channel investment — case studies, MOHE relationships, conference presence.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Overhead Cost</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Compliance — annual penetration testing, PDPA audit, SOC 2 readiness as we scale.</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Overhead Cost</w:t>
            </w:r>
          </w:p>
        </w:tc>
      </w:tr>
    </w:tbl>
    <w:p>
      <w:pPr>
        <w:pStyle w:val="Heading2"/>
      </w:pPr>
      <w:r>
        <w:t xml:space="preserve">6.4 Key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rPr>
          <w:tblHeader/>
        </w:trPr>
        <w:tc>
          <w:tcPr>
            <w:tcW w:type="dxa" w:w="4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Internal</w:t>
            </w:r>
          </w:p>
        </w:tc>
        <w:tc>
          <w:tcPr>
            <w:tcW w:type="dxa" w:w="45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External</w:t>
            </w:r>
          </w:p>
        </w:tc>
      </w:tr>
      <w:tr>
        <w:tc>
          <w:tcPr>
            <w:tcW w:type="dxa" w:w="4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Centre of Innovation (pilot co-funding)</w:t>
            </w:r>
          </w:p>
          <w:p>
            <w:pPr>
              <w:spacing w:after="0"/>
            </w:pPr>
            <w:r>
              <w:t xml:space="preserve">Hal Ehwal Pelajar (HEP) — primary scholarship coordinator</w:t>
            </w:r>
          </w:p>
          <w:p>
            <w:pPr>
              <w:spacing w:after="0"/>
            </w:pPr>
            <w:r>
              <w:t xml:space="preserve">Institute of Graduate Studies (IGS) — postgraduate admissions</w:t>
            </w:r>
          </w:p>
          <w:p>
            <w:pPr>
              <w:spacing w:after="0"/>
            </w:pPr>
            <w:r>
              <w:t xml:space="preserve">Faculty academic offices — FYP, deferment, exam appeals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 mandatory GLM provider</w:t>
            </w:r>
          </w:p>
          <w:p>
            <w:pPr>
              <w:spacing w:after="0"/>
            </w:pPr>
            <w:r>
              <w:t xml:space="preserve">YTL AI Labs (ILMU) — sovereign-MY model partner</w:t>
            </w:r>
          </w:p>
          <w:p>
            <w:pPr>
              <w:spacing w:after="0"/>
            </w:pPr>
            <w:r>
              <w:t xml:space="preserve">Supabase — managed Postgres + Auth + Storage + Realtime</w:t>
            </w:r>
          </w:p>
          <w:p>
            <w:pPr>
              <w:spacing w:after="0"/>
            </w:pPr>
            <w:r>
              <w:t xml:space="preserve">Vercel — hosting and CI/CD</w:t>
            </w:r>
          </w:p>
          <w:p>
            <w:pPr>
              <w:spacing w:after="0"/>
            </w:pPr>
            <w:r>
              <w:t xml:space="preserve">MOHE — Phase 2 introduction channel for public-sector expansion</w:t>
            </w:r>
          </w:p>
          <w:p>
            <w:pPr>
              <w:spacing w:after="0"/>
            </w:pPr>
            <w:r>
              <w:t xml:space="preserve">EMGS — integration partner for international-student visa procedures</w:t>
            </w:r>
          </w:p>
        </w:tc>
      </w:tr>
    </w:tbl>
    <w:p>
      <w:pPr>
        <w:pStyle w:val="Heading2"/>
      </w:pPr>
      <w:r>
        <w:t xml:space="preserve">6.5 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376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Risk Type</w:t>
            </w:r>
          </w:p>
        </w:tc>
        <w:tc>
          <w:tcPr>
            <w:tcW w:type="dxa" w:w="1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Impact</w:t>
            </w:r>
          </w:p>
        </w:tc>
        <w:tc>
          <w:tcPr>
            <w:tcW w:type="dxa" w:w="1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Likelihood</w:t>
            </w:r>
          </w:p>
        </w:tc>
        <w:tc>
          <w:tcPr>
            <w:tcW w:type="dxa" w:w="37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Mitigation</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AI hallucination in decision letters</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Regex hallucination check on every preview; coordinator-as-final-reviewer; 5-min undo retracts on regret. Never auto-send.</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Z.AI provider outage during a critical demo or pilot day</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140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t xml:space="preserve">Low</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Mock-mode auto-fallback returns recorded fixtures; submit and decide endpoints write fallback briefing/letter. ILMU is the routable second provider for the briefing call.</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PDPA / data-protection compliance gap</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RLS on every PII table; per-institution Data Processing Agreement signed before pilot; right-to-erasure via cascading delete; audit log retained per institutional policy.</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Procurement-cycle inertia in public universities</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14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t xml:space="preserve">High</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 as starting-market reference; MOHE introduction channel; co-fund Year 1 with the target institution to accelerate trial signature.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Token-consumption growth at scale erodes gross margin</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/admin/cost dashboard for live monitoring; route low-stakes calls to GLM-4.5-flash; cache common SOP retrievals; renegotiate volume pricing at scale.</w:t>
            </w:r>
          </w:p>
        </w:tc>
      </w:tr>
      <w:tr>
        <w:tc>
          <w:tcPr>
            <w:tcW w:type="dxa" w:w="2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Foreign-stack competitor enters the segment</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14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t xml:space="preserve">Medium</w:t>
            </w:r>
          </w:p>
        </w:tc>
        <w:tc>
          <w:tcPr>
            <w:tcW w:type="dxa" w:w="3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ILMU sovereign-MY moat; UM reference customer; deep SOP integration depth as switching cost.</w:t>
            </w:r>
          </w:p>
        </w:tc>
      </w:tr>
    </w:tbl>
    <w:p>
      <w:pPr>
        <w:pStyle w:val="Heading1"/>
      </w:pPr>
      <w:r>
        <w:t xml:space="preserve">7. Implementation &amp; Financials</w:t>
      </w:r>
    </w:p>
    <w:p>
      <w:pPr>
        <w:pStyle w:val="Heading2"/>
      </w:pPr>
      <w:r>
        <w:t xml:space="preserve">7.1 Go-to-Market Strategy</w:t>
      </w:r>
    </w:p>
    <w:p>
      <w:pPr>
        <w:spacing w:after="140"/>
      </w:pPr>
      <w:r>
        <w:t xml:space="preserve">UniGuide adopts an institution-first rollout strategy with concentric expansion. The starting market is Universiti Malaya — where the team is, where the institutional relationships exist, and where the live pilot will be sponsored by the UM Centre of Innovation. Year 1 produces the case study and operational metrics that unlock Phase 2.</w:t>
      </w:r>
    </w:p>
    <w:p>
      <w:pPr>
        <w:spacing w:after="140"/>
      </w:pPr>
      <w:r>
        <w:t xml:space="preserve">Phase 2 (Months 6–18) targets three additional Malaysian public universities — UTM, USM, UKM — through MOHE introduction. The MY-sovereign-LLM positioning is the explicit procurement differentiator versus foreign-stack alternatives. Phase 3 (Months 18–36) opens the Malaysian private-university segment (Taylor's, Sunway, Monash MY, Nottingham MY) which sits in the Enterprise tier. Phase 4 (Year 4+) is the ASEAN expansion, beginning with Indonesia (largest tertiary market in SEA, regulatory shape similar to Malaysia, ASEAN integration tailwinds) and Singapore (credibility and reference customers).</w:t>
      </w:r>
    </w:p>
    <w:p>
      <w:pPr>
        <w:pStyle w:val="Heading2"/>
      </w:pPr>
      <w:r>
        <w:t xml:space="preserve">7.2 Implementation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800"/>
        <w:gridCol w:w="236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Phase</w:t>
            </w:r>
          </w:p>
        </w:tc>
        <w:tc>
          <w:tcPr>
            <w:tcW w:type="dxa" w:w="30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Action</w:t>
            </w:r>
          </w:p>
        </w:tc>
        <w:tc>
          <w:tcPr>
            <w:tcW w:type="dxa" w:w="18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Timeline</w:t>
            </w:r>
          </w:p>
        </w:tc>
        <w:tc>
          <w:tcPr>
            <w:tcW w:type="dxa" w:w="236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Target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Soft Launch — UM (starting market)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UM-only pilot covering all 5 MVP procedures. Co-funded by UM Centre of Innovation. Operate on UM's own Supabase and Vercel infrastructure.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1–6</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~10,000 active students; 1 case study published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Public-Sector Expansion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Three additional MY public universities (UTM, USM, UKM) onboarded through MOHE introduction. Per-institution SOP authoring and letter-template migration.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6–18</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~45,000 active students across 4 unis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Private-Sector &amp; MoE-Wide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Five Malaysian private universities at Enterprise tier. Begin MoE-wide deployment conversation. Activate semantic SOP retrieval (pgvector) as catalogue grows.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18–30</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~140,000 active students across 8+ unis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Optimisation</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Multi-tenant rebuild for SEA expansion; PWA mobile shell; ASEAN regional DPAs; localisation framework for non-EN/MS languages.</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Months 30–48</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Reach institution-level break-even per market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TOTAL</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Approximately RM 4.2M total investment over 4 years (engineering + customer success + sales + infrastructure).</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48 Months</w:t>
            </w:r>
          </w:p>
        </w:tc>
        <w:tc>
          <w:tcPr>
            <w:tcW w:type="dxa" w:w="2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MY full coverage + ID/SG entry</w:t>
            </w:r>
          </w:p>
        </w:tc>
      </w:tr>
    </w:tbl>
    <w:p>
      <w:pPr>
        <w:pStyle w:val="Heading2"/>
      </w:pPr>
      <w:r>
        <w:t xml:space="preserve">7.3 Revenue Projections (3-Year)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880"/>
        <w:gridCol w:w="188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Metric</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 1</w:t>
            </w:r>
          </w:p>
        </w:tc>
        <w:tc>
          <w:tcPr>
            <w:tcW w:type="dxa" w:w="160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 2</w:t>
            </w:r>
          </w:p>
        </w:tc>
        <w:tc>
          <w:tcPr>
            <w:tcW w:type="dxa" w:w="188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Year 3</w:t>
            </w:r>
          </w:p>
        </w:tc>
        <w:tc>
          <w:tcPr>
            <w:tcW w:type="dxa" w:w="1880"/>
            <w:tcBorders>
              <w:top w:val="single" w:color="BFBFBF" w:sz="4"/>
              <w:left w:val="single" w:color="BFBFBF" w:sz="4"/>
              <w:bottom w:val="single" w:color="BFBFBF" w:sz="4"/>
              <w:right w:val="single" w:color="BFBFBF" w:sz="4"/>
            </w:tcBorders>
            <w:shd w:fill="1F3864" w:color="auto" w:val="clear"/>
            <w:tcMar>
              <w:top w:type="dxa" w:w="100"/>
              <w:left w:type="dxa" w:w="140"/>
              <w:bottom w:type="dxa" w:w="100"/>
              <w:right w:type="dxa" w:w="140"/>
            </w:tcMar>
          </w:tcPr>
          <w:p>
            <w:pPr>
              <w:spacing w:after="0"/>
            </w:pPr>
            <w:r>
              <w:rPr>
                <w:b/>
                <w:bCs/>
                <w:color w:val="FFFFFF"/>
              </w:rPr>
              <w:t xml:space="preserve">Notes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Active Institutions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 (UM pilot)</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Subsidised in Year 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Active Students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~45,000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~140,000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Per-active-student-per-year billing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Procedures Supported</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5</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8</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12</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Add 3 procedures per year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Licence Revenue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360,000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1,120,000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Growth tier blended ARPU</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Implementation Services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200,000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Per-procedure premiums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Total Revenue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80,000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440,000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RM 1,320,000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Total Cost (incl. AI inference)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350,000</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580,000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RM 820,000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Engineering + hosting + CS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rPr>
                <w:b/>
                <w:bCs/>
              </w:rPr>
              <w:t xml:space="preserve">Net Position</w:t>
            </w:r>
          </w:p>
        </w:tc>
        <w:tc>
          <w:tcPr>
            <w:tcW w:type="dxa" w:w="1600"/>
            <w:tcBorders>
              <w:top w:val="single" w:color="BFBFBF" w:sz="4"/>
              <w:left w:val="single" w:color="BFBFBF" w:sz="4"/>
              <w:bottom w:val="single" w:color="BFBFBF" w:sz="4"/>
              <w:right w:val="single" w:color="BFBFBF" w:sz="4"/>
            </w:tcBorders>
            <w:shd w:fill="FFCDD2" w:color="auto" w:val="clear"/>
            <w:tcMar>
              <w:top w:type="dxa" w:w="100"/>
              <w:left w:type="dxa" w:w="140"/>
              <w:bottom w:type="dxa" w:w="100"/>
              <w:right w:type="dxa" w:w="140"/>
            </w:tcMar>
          </w:tcPr>
          <w:p>
            <w:pPr>
              <w:spacing w:after="0"/>
            </w:pPr>
            <w:r>
              <w:rPr>
                <w:b/>
                <w:bCs/>
              </w:rPr>
              <w:t xml:space="preserve">RM (270,000)</w:t>
            </w:r>
          </w:p>
        </w:tc>
        <w:tc>
          <w:tcPr>
            <w:tcW w:type="dxa" w:w="1600"/>
            <w:tcBorders>
              <w:top w:val="single" w:color="BFBFBF" w:sz="4"/>
              <w:left w:val="single" w:color="BFBFBF" w:sz="4"/>
              <w:bottom w:val="single" w:color="BFBFBF" w:sz="4"/>
              <w:right w:val="single" w:color="BFBFBF" w:sz="4"/>
            </w:tcBorders>
            <w:shd w:fill="FFE0B2" w:color="auto" w:val="clear"/>
            <w:tcMar>
              <w:top w:type="dxa" w:w="100"/>
              <w:left w:type="dxa" w:w="140"/>
              <w:bottom w:type="dxa" w:w="100"/>
              <w:right w:type="dxa" w:w="140"/>
            </w:tcMar>
          </w:tcPr>
          <w:p>
            <w:pPr>
              <w:spacing w:after="0"/>
            </w:pPr>
            <w:r>
              <w:rPr>
                <w:b/>
                <w:bCs/>
              </w:rPr>
              <w:t xml:space="preserve">RM (140,000)</w:t>
            </w:r>
          </w:p>
        </w:tc>
        <w:tc>
          <w:tcPr>
            <w:tcW w:type="dxa" w:w="1880"/>
            <w:tcBorders>
              <w:top w:val="single" w:color="BFBFBF" w:sz="4"/>
              <w:left w:val="single" w:color="BFBFBF" w:sz="4"/>
              <w:bottom w:val="single" w:color="BFBFBF" w:sz="4"/>
              <w:right w:val="single" w:color="BFBFBF" w:sz="4"/>
            </w:tcBorders>
            <w:shd w:fill="C8E6C9" w:color="auto" w:val="clear"/>
            <w:tcMar>
              <w:top w:type="dxa" w:w="100"/>
              <w:left w:type="dxa" w:w="140"/>
              <w:bottom w:type="dxa" w:w="100"/>
              <w:right w:type="dxa" w:w="140"/>
            </w:tcMar>
          </w:tcPr>
          <w:p>
            <w:pPr>
              <w:spacing w:after="0"/>
            </w:pPr>
            <w:r>
              <w:rPr>
                <w:b/>
                <w:bCs/>
              </w:rPr>
              <w:t xml:space="preserve">RM +500,000</w:t>
            </w:r>
          </w:p>
        </w:tc>
        <w:tc>
          <w:tcPr>
            <w:tcW w:type="dxa" w:w="18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0"/>
            </w:pPr>
            <w:r>
              <w:t xml:space="preserve">Break-even early Year 3</w:t>
            </w:r>
          </w:p>
        </w:tc>
      </w:tr>
    </w:tbl>
    <w:p>
      <w:pPr>
        <w:pStyle w:val="Heading2"/>
      </w:pPr>
      <w:r>
        <w:t xml:space="preserve">7.4 Key Financial Milestones</w:t>
      </w:r>
    </w:p>
    <w:p>
      <w:pPr>
        <w:pStyle w:val="ListParagraph"/>
        <w:numPr>
          <w:ilvl w:val="0"/>
          <w:numId w:val="2"/>
        </w:numPr>
        <w:spacing w:after="60"/>
      </w:pPr>
      <w:r>
        <w:rPr>
          <w:b/>
          <w:bCs/>
        </w:rPr>
        <w:t xml:space="preserve">Month 6: </w:t>
      </w:r>
      <w:r>
        <w:t xml:space="preserve">UM pilot live with all 5 MVP procedures; case study draft in production; ~10,000 active students.</w:t>
      </w:r>
    </w:p>
    <w:p>
      <w:pPr>
        <w:pStyle w:val="ListParagraph"/>
        <w:numPr>
          <w:ilvl w:val="0"/>
          <w:numId w:val="2"/>
        </w:numPr>
        <w:spacing w:after="60"/>
      </w:pPr>
      <w:r>
        <w:rPr>
          <w:b/>
          <w:bCs/>
        </w:rPr>
        <w:t xml:space="preserve">Month 12: </w:t>
      </w:r>
      <w:r>
        <w:t xml:space="preserve">UTM and USM signed (Phase 2 starts); first commercial revenue recognised; engineering spend balanced by recurring licence revenue.</w:t>
      </w:r>
    </w:p>
    <w:p>
      <w:pPr>
        <w:pStyle w:val="ListParagraph"/>
        <w:numPr>
          <w:ilvl w:val="0"/>
          <w:numId w:val="2"/>
        </w:numPr>
        <w:spacing w:after="60"/>
      </w:pPr>
      <w:r>
        <w:rPr>
          <w:b/>
          <w:bCs/>
        </w:rPr>
        <w:t xml:space="preserve">Month 18: </w:t>
      </w:r>
      <w:r>
        <w:t xml:space="preserve">Four institutions live; ~45,000 active students; pgvector semantic SOP retrieval activated to keep cost-per-call flat as catalogue grows.</w:t>
      </w:r>
    </w:p>
    <w:p>
      <w:pPr>
        <w:pStyle w:val="ListParagraph"/>
        <w:numPr>
          <w:ilvl w:val="0"/>
          <w:numId w:val="2"/>
        </w:numPr>
        <w:spacing w:after="60"/>
      </w:pPr>
      <w:r>
        <w:rPr>
          <w:b/>
          <w:bCs/>
        </w:rPr>
        <w:t xml:space="preserve">Month 24: </w:t>
      </w:r>
      <w:r>
        <w:t xml:space="preserve">Net cash-flow break-even at the operating level; first private-university (Enterprise tier) signed.</w:t>
      </w:r>
    </w:p>
    <w:p>
      <w:pPr>
        <w:pStyle w:val="ListParagraph"/>
        <w:numPr>
          <w:ilvl w:val="0"/>
          <w:numId w:val="2"/>
        </w:numPr>
        <w:spacing w:after="60"/>
      </w:pPr>
      <w:r>
        <w:rPr>
          <w:b/>
          <w:bCs/>
        </w:rPr>
        <w:t xml:space="preserve">Month 30: </w:t>
      </w:r>
      <w:r>
        <w:t xml:space="preserve">Cumulative cash-flow break-even; multi-tenant rebuild begins; ASEAN expansion feasibility study published.</w:t>
      </w:r>
    </w:p>
    <w:p>
      <w:pPr>
        <w:pStyle w:val="ListParagraph"/>
        <w:numPr>
          <w:ilvl w:val="0"/>
          <w:numId w:val="2"/>
        </w:numPr>
        <w:spacing w:after="60"/>
      </w:pPr>
      <w:r>
        <w:rPr>
          <w:b/>
          <w:bCs/>
        </w:rPr>
        <w:t xml:space="preserve">Month 36: </w:t>
      </w:r>
      <w:r>
        <w:t xml:space="preserve">Eight institutions live; ~140,000 active students; net position approximately RM +500,000; expansion to Indonesia + Singapore programmed for Year 4.</w:t>
      </w:r>
    </w:p>
    <w:p>
      <w:pPr>
        <w:spacing w:after="0" w:before="320"/>
        <w:jc w:val="center"/>
      </w:pPr>
      <w:r>
        <w:rPr>
          <w:i/>
          <w:iCs/>
          <w:color w:val="808080"/>
        </w:rPr>
        <w:t xml:space="preserve">— End of Business Proposal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of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i/>
        <w:iCs/>
        <w:color w:val="595959"/>
        <w:sz w:val="18"/>
        <w:szCs w:val="18"/>
      </w:rPr>
      <w:t xml:space="preserve">BUSINESS PROPOSAL · UMHackathon 2026 · Team 108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74B5"/>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2026-05-02T05:33:00.294Z</dcterms:created>
  <dcterms:modified xsi:type="dcterms:W3CDTF">2026-05-02T05:33:00.294Z</dcterms:modified>
</cp:coreProperties>
</file>

<file path=docProps/custom.xml><?xml version="1.0" encoding="utf-8"?>
<Properties xmlns="http://schemas.openxmlformats.org/officeDocument/2006/custom-properties" xmlns:vt="http://schemas.openxmlformats.org/officeDocument/2006/docPropsVTypes"/>
</file>