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Term Project 2 Reference: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Event-based animation codes from 15-112 website. The link to the specific page 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https://www.cs.cmu.edu/~112/notes/notes-animations-part1.html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Computer graphics codes from 15-112 website in order to draw tables and graphs. The link to the specific page is: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https://www.cs.cmu.edu/~112/notes/notes-graphics.html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70-401 Tepper UBA Capstone, Management game details: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https://www.cmu.edu/tepper/programs/mba/curriculum/capstones/management-game.html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graphics with tkinter and mode dispatcher: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http://www.kosbie.net/cmu/fall-16/15-112/notes/notes-animations-examples.html#modeDemo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read CSV file: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https://www.cs.cmu.edu/~110/notes/notes-2d-lists.html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Business Game Data from David Lamont, Management Game Course Instructor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15-112 Gaussian Elimination Code is from: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http://www.kosbie.net/cmu/spring-17/15-112/notes/15-190-hw2.html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15-110 advanced optional lecture week 8 notes sent via email from David Kosbie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fldChar w:fldCharType="begin"/>
        <w:instrText xml:space="preserve"> HYPERLINK "https://www.cs.cmu.edu/~112/notes/notes-monte-carlo.html"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https://www.cs.cmu.edu/~112/notes/notes-monte-carlo.html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="235.63635739413175" w:lineRule="auto"/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Week 1 , Fun Friday: Guest Lecture by Lenore and Manuel Blum: BBS + Unfair Coins,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00" w:line="235.63635739413175" w:lineRule="auto"/>
        <w:ind w:left="720" w:hanging="360"/>
        <w:rPr>
          <w:color w:val="1155cc"/>
          <w:u w:val="none"/>
        </w:rPr>
      </w:pPr>
      <w:r w:rsidDel="00000000" w:rsidR="00000000" w:rsidRPr="00000000">
        <w:rPr>
          <w:rtl w:val="0"/>
        </w:rPr>
        <w:t xml:space="preserve">Monte Carlo Code structure learned from: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https://www.cs.cmu.edu/~110/notes/monte_carlo_with_dice.py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35.63635739413175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35.63635739413175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kosbie.net/cmu/spring-17/15-112/notes/15-190-hw2.html" TargetMode="External"/><Relationship Id="rId10" Type="http://schemas.openxmlformats.org/officeDocument/2006/relationships/hyperlink" Target="https://www.cs.cmu.edu/~110/notes/notes-2d-lists.html" TargetMode="External"/><Relationship Id="rId12" Type="http://schemas.openxmlformats.org/officeDocument/2006/relationships/hyperlink" Target="https://www.cs.cmu.edu/~110/notes/monte_carlo_with_dice.py" TargetMode="External"/><Relationship Id="rId9" Type="http://schemas.openxmlformats.org/officeDocument/2006/relationships/hyperlink" Target="http://www.kosbie.net/cmu/fall-16/15-112/notes/notes-animations-examples.html#modeDem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cmu.edu/~112/notes/notes-animations-part1.html" TargetMode="External"/><Relationship Id="rId7" Type="http://schemas.openxmlformats.org/officeDocument/2006/relationships/hyperlink" Target="https://www.cs.cmu.edu/~112/notes/notes-graphics.html" TargetMode="External"/><Relationship Id="rId8" Type="http://schemas.openxmlformats.org/officeDocument/2006/relationships/hyperlink" Target="https://www.cmu.edu/tepper/programs/mba/curriculum/capstones/management-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