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大模型 MBTI 测试结果总结</w:t>
      </w:r>
    </w:p>
    <w:p>
      <w:pPr>
        <w:pStyle w:val="Subtitle"/>
        <w:widowControl/>
      </w:pPr>
      <w:r>
        <w:t>OEJTS 测试   2026 年 9 月 11 日</w:t>
      </w:r>
    </w:p>
    <w:p>
      <w:pPr>
        <w:widowControl/>
      </w:pPr>
      <w:r>
        <w:t>本次测试覆盖 27 款大模型，每款完成 16 份独立问卷，共得到 432 份有效结果。其中，12 款达到预设稳定标准：8 款为 INTJ，4 款为 ISTJ；其余 15 款为未稳定。稳定结果集中于 INTJ 和 ISTJ，未稳定模型的主要分歧集中在 S/N 维度。</w:t>
      </w:r>
    </w:p>
    <w:p>
      <w:pPr>
        <w:pStyle w:val="Heading1"/>
        <w:widowControl/>
      </w:pPr>
      <w:r>
        <w:t>测试范围和判定标准</w:t>
      </w:r>
    </w:p>
    <w:p>
      <w:pPr>
        <w:widowControl/>
      </w:pPr>
      <w:r>
        <w:t>使用 OEJTS 1.2 原始五点量表，每份包含 32 题。所有纳入结果均已核验题目完整、分数可计分，且无请求错误或解析错误。每份问卷按固定规则得到四字母类型，再统计同一模型的 16 次结果。</w:t>
      </w:r>
    </w:p>
    <w:p>
      <w:pPr>
        <w:widowControl/>
      </w:pPr>
      <w:r>
        <w:t>众数是出现次数最多的完整类型。只有同时满足以下两条，才判为稳定类型：</w:t>
      </w:r>
    </w:p>
    <w:p>
      <w:pPr>
        <w:widowControl/>
      </w:pPr>
      <w:r>
        <w:t>1. 完整类型有唯一众数，且至少出现 9/16 次。</w:t>
      </w:r>
    </w:p>
    <w:p>
      <w:pPr>
        <w:widowControl/>
      </w:pPr>
      <w:r>
        <w:t>2. 该众数的四个字母，各自至少出现 13/16 次。</w:t>
      </w:r>
    </w:p>
    <w:p>
      <w:pPr>
        <w:pStyle w:val="Heading1"/>
        <w:widowControl/>
      </w:pPr>
      <w:r>
        <w:t>主要发现</w:t>
      </w:r>
    </w:p>
    <w:p>
      <w:pPr>
        <w:pStyle w:val="Heading2"/>
        <w:widowControl/>
      </w:pPr>
      <w:r>
        <w:t>六款模型的类型完全一致</w:t>
      </w:r>
    </w:p>
    <w:p>
      <w:pPr>
        <w:widowControl/>
      </w:pPr>
      <w:r>
        <w:t>GPT-6 Astra 的 16 次结果均为 ISTJ。DeepSeek V4.1 Flash、Kimi K3、GPT-5.6 Luna、Terra 和 Sol 的 16 次结果均为 INTJ。这里的一致指完整类型相同，不表示 32 道题的答案逐项相同。</w:t>
      </w:r>
    </w:p>
    <w:p>
      <w:pPr>
        <w:pStyle w:val="Heading2"/>
        <w:widowControl/>
      </w:pPr>
      <w:r>
        <w:t>S 和 N 是最常见的分歧</w:t>
      </w:r>
    </w:p>
    <w:p>
      <w:pPr>
        <w:widowControl/>
      </w:pPr>
      <w:r>
        <w:t>15 款未稳定模型中，有 9 款仅因 S 或 N 的出现次数不足 13 次而未通过。这些模型的 I、T、J 较一致，主要在实感 S 与直觉 N 之间变化。</w:t>
      </w:r>
    </w:p>
    <w:p>
      <w:pPr>
        <w:pStyle w:val="Heading2"/>
        <w:widowControl/>
      </w:pPr>
      <w:r>
        <w:t>豆包达到稳定 ISTJ</w:t>
      </w:r>
    </w:p>
    <w:p>
      <w:pPr>
        <w:widowControl/>
      </w:pPr>
      <w:r>
        <w:t>Doubao Seed 2.1 Pro 的分布为 ISTJ 11 次、INTJ 3 次、ISFJ 2 次。I、S、T、J 分别出现 16、13、14、16 次，四个字母均达到门槛。</w:t>
      </w:r>
    </w:p>
    <w:p>
      <w:pPr>
        <w:pStyle w:val="Heading2"/>
        <w:widowControl/>
      </w:pPr>
      <w:r>
        <w:t>两款 Ling 的结果最分散</w:t>
      </w:r>
    </w:p>
    <w:p>
      <w:pPr>
        <w:widowControl/>
      </w:pPr>
      <w:r>
        <w:t>Ling 3.0 Tiny 和 Ling-3.0-flash 均出现 11 种完整类型，众数只有 3/16。MiniMax M3 出现 7 种类型，众数 INFJ 为 5/16；这些模型尚不适合用一个固定类型概括。</w:t>
      </w:r>
    </w:p>
    <w:p>
      <w:pPr>
        <w:pStyle w:val="Heading1"/>
        <w:widowControl/>
      </w:pPr>
      <w:r>
        <w:t>如何理解稳定结果</w:t>
      </w:r>
    </w:p>
    <w:p>
      <w:pPr>
        <w:widowControl/>
      </w:pPr>
      <w:r>
        <w:t>稳定性由完整类型频数与四个字母频数共同决定。例如 Step 3.7 Flash 与 Gemini 3.8 Flash 的众数均为 ISTJ 12/16，但前者四个字母均达标，后者 S 仅出现 12 次，因此只有前者稳定。</w:t>
      </w:r>
    </w:p>
    <w:p>
      <w:pPr>
        <w:widowControl/>
        <w:spacing w:after="0"/>
      </w:pPr>
      <w:r>
        <w:t>本结论描述模型在本次 OEJTS 提示和施测设置下的重复答题表现。未稳定不代表问卷无效，也不直接代表模型能力高低；跨场景的人格判断仍需要更多测试。</w:t>
      </w:r>
    </w:p>
    <w:p>
      <w:r>
        <w:br w:type="page"/>
      </w:r>
    </w:p>
    <w:p>
      <w:pPr>
        <w:pStyle w:val="Heading1"/>
        <w:widowControl/>
      </w:pPr>
      <w:r>
        <w:t>全模型结果对照</w:t>
      </w:r>
    </w:p>
    <w:p>
      <w:pPr>
        <w:widowControl/>
        <w:spacing w:after="160"/>
      </w:pPr>
      <w:r>
        <w:rPr>
          <w:rFonts w:ascii="Arial" w:hAnsi="Arial" w:eastAsia="Noto Sans SC"/>
          <w:b w:val="0"/>
          <w:color w:val="000000"/>
          <w:sz w:val="20"/>
        </w:rPr>
        <w:t>每款均有 16 份有效问卷。表中“未稳定”对应 no_stable_type；众数仍保留，便于观察答题倾向。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4752"/>
        <w:gridCol w:w="1656"/>
        <w:gridCol w:w="1656"/>
        <w:gridCol w:w="1872"/>
      </w:tblGrid>
      <w:tr>
        <w:trPr>
          <w:tblHeader/>
          <w:cantSplit/>
        </w:trPr>
        <w:tc>
          <w:tcPr>
            <w:tcW w:type="dxa" w:w="4752"/>
            <w:vAlign w:val="center"/>
            <w:shd w:fill="24364B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/>
                <w:color w:val="FFFFFF"/>
                <w:sz w:val="21"/>
              </w:rPr>
              <w:t>模型</w:t>
            </w:r>
          </w:p>
        </w:tc>
        <w:tc>
          <w:tcPr>
            <w:tcW w:type="dxa" w:w="1656"/>
            <w:vAlign w:val="center"/>
            <w:shd w:fill="24364B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FFFFFF"/>
                <w:sz w:val="21"/>
              </w:rPr>
              <w:t>稳定判定</w:t>
            </w:r>
          </w:p>
        </w:tc>
        <w:tc>
          <w:tcPr>
            <w:tcW w:type="dxa" w:w="1656"/>
            <w:vAlign w:val="center"/>
            <w:shd w:fill="24364B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FFFFFF"/>
                <w:sz w:val="21"/>
              </w:rPr>
              <w:t>众数类型</w:t>
            </w:r>
          </w:p>
        </w:tc>
        <w:tc>
          <w:tcPr>
            <w:tcW w:type="dxa" w:w="1872"/>
            <w:vAlign w:val="center"/>
            <w:shd w:fill="24364B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FFFFFF"/>
                <w:sz w:val="21"/>
              </w:rPr>
              <w:t>众数频数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GPT-6 Astra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GPT-5.6 Luna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GPT-5.6 Terra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GPT-5.6 Sol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Claude Fable 5.1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9/16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Claude Opus 5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14/16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Claude Sonnet 5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13/16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Gemini 3.8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12/16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Gemini 3.6 Flash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DeepSeek V4.1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DeepSeek V4 Pro 0813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9/16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Qwen3.8 Max 0902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Qwen3.8-Flash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14/16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Doubao Seed 2.1 Pro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11/16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Grok 4.6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15/16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GLM 5.3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Kimi K3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INTJ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16/16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MiniMax M3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INFJ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5/16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ERNIE 5.1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8/16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Hy3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11/16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MiMo V2.5 Pro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7/16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Step 3.7 Flash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/>
                <w:color w:val="000000"/>
                <w:sz w:val="21"/>
              </w:rPr>
              <w:t>ISTJ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12/16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LongCat 2.0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11/16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Ling 3.0 Tiny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ESFJ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3/16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Ling-3.0-flash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ISTJ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3/16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2F5F8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Muse Spark 1.3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2F5F8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10/16</w:t>
            </w:r>
          </w:p>
        </w:tc>
      </w:tr>
      <w:tr>
        <w:trPr>
          <w:cantSplit/>
        </w:trPr>
        <w:tc>
          <w:tcPr>
            <w:tcW w:type="dxa" w:w="4752"/>
            <w:vAlign w:val="center"/>
            <w:shd w:fill="FFFFFF"/>
          </w:tcPr>
          <w:p>
            <w:pPr>
              <w:spacing w:before="0" w:after="0" w:line="280" w:lineRule="exact"/>
              <w:jc w:val="left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Mistral Large 3 (Azure)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未稳定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INTJ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before="0" w:after="0" w:line="280" w:lineRule="exact"/>
              <w:jc w:val="center"/>
            </w:pPr>
            <w:r>
              <w:rPr>
                <w:rFonts w:ascii="Arial" w:hAnsi="Arial" w:eastAsia="Noto Sans SC"/>
                <w:b w:val="0"/>
                <w:color w:val="000000"/>
                <w:sz w:val="21"/>
              </w:rPr>
              <w:t>11/16</w:t>
            </w:r>
          </w:p>
        </w:tc>
      </w:tr>
    </w:tbl>
    <w:p>
      <w:pPr>
        <w:widowControl/>
        <w:spacing w:before="140" w:after="40"/>
      </w:pPr>
      <w:r>
        <w:rPr>
          <w:rFonts w:ascii="Arial" w:hAnsi="Arial" w:eastAsia="Noto Sans SC"/>
          <w:b w:val="0"/>
          <w:color w:val="000000"/>
          <w:sz w:val="18"/>
        </w:rPr>
        <w:t>数据来源  ZenMux Arena  批次 20260911T040759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0" w:lineRule="exact"/>
      <w:snapToGrid w:val="0"/>
    </w:pPr>
    <w:rPr>
      <w:rFonts w:ascii="Arial" w:hAnsi="Arial" w:eastAsia="Noto Sans S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00" w:line="320" w:lineRule="exact"/>
      <w:snapToGrid w:val="0"/>
    </w:pPr>
    <w:rPr>
      <w:rFonts w:ascii="Arial" w:hAnsi="Arial" w:eastAsia="Noto Sans SC"/>
      <w:b w:val="0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 w:line="400" w:lineRule="exact"/>
      <w:outlineLvl w:val="0"/>
      <w:snapToGrid w:val="0"/>
    </w:pPr>
    <w:rPr>
      <w:rFonts w:ascii="Arial" w:hAnsi="Arial" w:eastAsia="Noto Sans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320" w:lineRule="exact"/>
      <w:outlineLvl w:val="1"/>
      <w:snapToGrid w:val="0"/>
    </w:pPr>
    <w:rPr>
      <w:rFonts w:ascii="Arial" w:hAnsi="Arial" w:eastAsia="Noto Sans S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640" w:lineRule="exact"/>
      <w:contextualSpacing/>
      <w:snapToGrid w:val="0"/>
    </w:pPr>
    <w:rPr>
      <w:rFonts w:ascii="Arial" w:hAnsi="Arial" w:eastAsia="Noto Sans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40" w:line="280" w:lineRule="exact"/>
      <w:snapToGrid w:val="0"/>
    </w:pPr>
    <w:rPr>
      <w:rFonts w:ascii="Arial" w:hAnsi="Arial" w:eastAsia="Noto Sans SC"/>
      <w:b w:val="0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大模型 MBTI 测试结果总结</dc:title>
  <dc:subject>27 款模型的 OEJTS 重复问卷结果</dc:subject>
  <dc:creator>ZenMux Arena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