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line="560" w:lineRule="exact" w:after="160"/>
      </w:pPr>
      <w:r>
        <w:rPr>
          <w:color w:val="000000"/>
          <w:sz w:val="44"/>
          <w:u w:val="none"/>
        </w:rPr>
        <w:t>大模型 MBTI 测试结果总结</w:t>
      </w:r>
    </w:p>
    <w:p>
      <w:pPr>
        <w:pStyle w:val="Subtitle"/>
        <w:widowControl/>
        <w:spacing w:line="290" w:lineRule="exact" w:before="0" w:after="100"/>
      </w:pPr>
      <w:r>
        <w:rPr>
          <w:sz w:val="21"/>
        </w:rPr>
        <w:t>OEJTS 测试   2026 年 9 月 11 日施测   9 月 17 日分析修订</w:t>
      </w:r>
    </w:p>
    <w:p>
      <w:pPr>
        <w:widowControl/>
        <w:spacing w:line="290" w:lineRule="exact" w:before="0" w:after="100"/>
      </w:pPr>
      <w:r>
        <w:rPr>
          <w:sz w:val="21"/>
        </w:rPr>
        <w:t>本次测试覆盖 27 款大模型，每款完成 16 份完整问卷，共 432 份有效结果。按修订后的唯一众数严格过半判据，22 款稳定：13 款 INTJ、9 款 ISTJ；其余 5 款未稳定。本次仅重分析既有问卷，原始回答、提示词与运行快照不变。</w:t>
      </w:r>
    </w:p>
    <w:p>
      <w:pPr>
        <w:pStyle w:val="Heading1"/>
        <w:widowControl/>
        <w:spacing w:line="360" w:lineRule="exact" w:before="180" w:after="100"/>
      </w:pPr>
      <w:r>
        <w:t>测试范围和判定标准</w:t>
      </w:r>
    </w:p>
    <w:p>
      <w:pPr>
        <w:widowControl/>
        <w:spacing w:line="290" w:lineRule="exact" w:before="0" w:after="100"/>
      </w:pPr>
      <w:r>
        <w:rPr>
          <w:sz w:val="21"/>
        </w:rPr>
        <w:t>使用 OEJTS 1.2 原始五点量表，每份包含 32 题。所有纳入结果均已核验题目完整、分数可计分，且无请求错误或解析错误。每份问卷按固定规则得到四字母类型，再统计同一模型的 16 次结果。</w:t>
      </w:r>
    </w:p>
    <w:p>
      <w:pPr>
        <w:widowControl/>
        <w:spacing w:line="290" w:lineRule="exact" w:before="0" w:after="100"/>
      </w:pPr>
      <w:r>
        <w:rPr>
          <w:sz w:val="21"/>
        </w:rPr>
        <w:t>众数是出现次数最多的完整类型。稳定判据只保留一条：</w:t>
      </w:r>
    </w:p>
    <w:p>
      <w:pPr>
        <w:widowControl/>
        <w:spacing w:line="290" w:lineRule="exact" w:before="0" w:after="100"/>
      </w:pPr>
      <w:r>
        <w:rPr>
          <w:sz w:val="21"/>
        </w:rPr>
        <w:t>完整类型有唯一众数，且严格超过半数，即至少出现 9/16 次。</w:t>
      </w:r>
    </w:p>
    <w:p>
      <w:pPr>
        <w:widowControl/>
        <w:spacing w:line="290" w:lineRule="exact" w:before="0" w:after="100"/>
      </w:pPr>
      <w:r>
        <w:rPr>
          <w:sz w:val="21"/>
        </w:rPr>
        <w:t>恰好 8/16 或并列众数均不算稳定。四字母频数和连续分数仅作描述，不再设置逐字母门槛。本判据于 2026 年 9 月 17 日修订，不是本轮原始预注册或官方 MBTI 认证标准。</w:t>
      </w:r>
    </w:p>
    <w:p>
      <w:pPr>
        <w:pStyle w:val="Heading1"/>
        <w:widowControl/>
        <w:spacing w:line="360" w:lineRule="exact" w:before="180" w:after="100"/>
      </w:pPr>
      <w:r>
        <w:t>主要发现</w:t>
      </w:r>
    </w:p>
    <w:p>
      <w:pPr>
        <w:pStyle w:val="Heading2"/>
        <w:widowControl/>
        <w:spacing w:line="300" w:lineRule="exact" w:before="120" w:after="60"/>
      </w:pPr>
      <w:r>
        <w:t>六款模型的类型完全一致</w:t>
      </w:r>
    </w:p>
    <w:p>
      <w:pPr>
        <w:widowControl/>
        <w:spacing w:line="290" w:lineRule="exact" w:before="0" w:after="100"/>
      </w:pPr>
      <w:r>
        <w:rPr>
          <w:sz w:val="21"/>
        </w:rPr>
        <w:t>GPT-6 Astra 的 16 次结果均为 ISTJ。DeepSeek V4.1 Flash、Kimi K3、GPT-5.6 Luna、Terra 和 Sol 的 16 次结果均为 INTJ。这里的一致指完整类型相同，不表示 32 道题的答案逐项相同。</w:t>
      </w:r>
    </w:p>
    <w:p>
      <w:pPr>
        <w:pStyle w:val="Heading2"/>
        <w:widowControl/>
        <w:spacing w:line="300" w:lineRule="exact" w:before="120" w:after="60"/>
      </w:pPr>
      <w:r>
        <w:t>严格多数区分稳定与未稳定</w:t>
      </w:r>
    </w:p>
    <w:p>
      <w:pPr>
        <w:widowControl/>
        <w:spacing w:line="290" w:lineRule="exact" w:before="0" w:after="100"/>
      </w:pPr>
      <w:r>
        <w:rPr>
          <w:sz w:val="21"/>
        </w:rPr>
        <w:t>Claude Fable 5.1 的 INTJ 为 9/16（56.25%），判定稳定；ERNIE 5.1 的 ISTJ 为 8/16（50%），虽是唯一众数但未超过半数，判定未稳定。与原分析相比，10 款模型的稳定性结论改变，问卷计分和类型分布未变。</w:t>
      </w:r>
    </w:p>
    <w:p>
      <w:pPr>
        <w:pStyle w:val="Heading2"/>
        <w:widowControl/>
        <w:spacing w:line="300" w:lineRule="exact" w:before="120" w:after="60"/>
      </w:pPr>
      <w:r>
        <w:t>豆包达到稳定 ISTJ</w:t>
      </w:r>
    </w:p>
    <w:p>
      <w:pPr>
        <w:widowControl/>
        <w:spacing w:line="290" w:lineRule="exact" w:before="0" w:after="100"/>
      </w:pPr>
      <w:r>
        <w:rPr>
          <w:sz w:val="21"/>
        </w:rPr>
        <w:t>Doubao Seed 2.1 Pro 的分布为 ISTJ 11 次、INTJ 3 次、ISFJ 2 次。ISTJ 占 68.75%，是唯一众数且严格超过半数，因此判定为稳定 ISTJ。</w:t>
      </w:r>
    </w:p>
    <w:p>
      <w:pPr>
        <w:pStyle w:val="Heading2"/>
        <w:widowControl/>
        <w:spacing w:line="300" w:lineRule="exact" w:before="120" w:after="60"/>
      </w:pPr>
      <w:r>
        <w:t>两款 Ling 的结果最分散</w:t>
      </w:r>
    </w:p>
    <w:p>
      <w:pPr>
        <w:widowControl/>
        <w:spacing w:line="290" w:lineRule="exact" w:before="0" w:after="100"/>
      </w:pPr>
      <w:r>
        <w:rPr>
          <w:sz w:val="21"/>
        </w:rPr>
        <w:t>Ling 3.0 Tiny 和 Ling-3.0-flash 均出现 11 种完整类型，众数只有 3/16。MiniMax M3 出现 7 种类型，众数 INFJ 为 5/16；这些模型尚不适合用一个固定类型概括。</w:t>
      </w:r>
    </w:p>
    <w:p>
      <w:pPr>
        <w:pStyle w:val="Heading1"/>
        <w:widowControl/>
        <w:spacing w:line="360" w:lineRule="exact" w:before="180" w:after="100"/>
      </w:pPr>
      <w:r>
        <w:t>如何理解稳定结果</w:t>
      </w:r>
    </w:p>
    <w:p>
      <w:pPr>
        <w:widowControl/>
        <w:spacing w:line="290" w:lineRule="exact" w:before="0" w:after="100"/>
      </w:pPr>
      <w:r>
        <w:rPr>
          <w:sz w:val="21"/>
        </w:rPr>
        <w:t>Step 3.7 Flash 与 Gemini 3.8 Flash 的众数均为 ISTJ 12/16（75%），现均判定稳定。占比指完整类型出现次数除以 16，不是人格置信度。供应商包含 Azure Mistral；输出上限先后为 8192、16384、50000，不能称为全原厂路由或完全一致参数。</w:t>
      </w:r>
    </w:p>
    <w:p>
      <w:pPr>
        <w:widowControl/>
        <w:spacing w:after="100" w:line="290" w:lineRule="exact" w:before="0"/>
      </w:pPr>
      <w:r>
        <w:rPr>
          <w:sz w:val="21"/>
        </w:rPr>
        <w:t>结论只描述本次问卷条件下的重复回答，不等于内在人格或能力。缓存影响尚未排除；后续通过保持语义的提示词扰动、无扰动对照、缓存命中记录及可用的绕缓存对照再验证。Prompt / KV 缓存不等于整段答案重放；扰动本身也可能影响回答。</w:t>
      </w:r>
    </w:p>
    <w:p>
      <w:pPr>
        <w:spacing w:line="290" w:lineRule="exact" w:before="0" w:after="100"/>
      </w:pPr>
      <w:r>
        <w:rPr>
          <w:sz w:val="21"/>
        </w:rPr>
        <w:br w:type="page"/>
      </w:r>
    </w:p>
    <w:p>
      <w:pPr>
        <w:pStyle w:val="Heading1"/>
        <w:widowControl/>
        <w:spacing w:line="360" w:lineRule="exact" w:before="180" w:after="100"/>
      </w:pPr>
      <w:r>
        <w:t>全模型结果对照</w:t>
      </w:r>
    </w:p>
    <w:p>
      <w:pPr>
        <w:widowControl/>
        <w:spacing w:after="100" w:line="290" w:lineRule="exact" w:before="0"/>
      </w:pPr>
      <w:r>
        <w:rPr>
          <w:rFonts w:ascii="Arial" w:hAnsi="Arial" w:eastAsia="Noto Sans SC"/>
          <w:b w:val="0"/>
          <w:color w:val="000000"/>
          <w:sz w:val="21"/>
        </w:rPr>
        <w:t>每款均有 16 份有效问卷。“未稳定”对应 no_stable_type；仍展示最高频类型与占比，以描述倾向而非强贴标签。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4752"/>
        <w:gridCol w:w="1656"/>
        <w:gridCol w:w="1656"/>
        <w:gridCol w:w="1872"/>
      </w:tblGrid>
      <w:tr>
        <w:trPr>
          <w:tblHeader/>
          <w:cantSplit/>
        </w:trPr>
        <w:tc>
          <w:tcPr>
            <w:tcW w:type="dxa" w:w="4752"/>
            <w:vAlign w:val="center"/>
            <w:shd w:fill="24364B"/>
          </w:tcPr>
          <w:p>
            <w:pPr>
              <w:spacing w:before="0" w:after="0" w:line="260" w:lineRule="exact"/>
              <w:jc w:val="left"/>
            </w:pPr>
            <w:r>
              <w:rPr>
                <w:rFonts w:ascii="Arial" w:hAnsi="Arial" w:eastAsia="Noto Sans SC"/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1656"/>
            <w:vAlign w:val="center"/>
            <w:shd w:fill="24364B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20"/>
              </w:rPr>
              <w:t>稳定判定</w:t>
            </w:r>
          </w:p>
        </w:tc>
        <w:tc>
          <w:tcPr>
            <w:tcW w:type="dxa" w:w="1656"/>
            <w:vAlign w:val="center"/>
            <w:shd w:fill="24364B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20"/>
              </w:rPr>
              <w:t>众数类型</w:t>
            </w:r>
          </w:p>
        </w:tc>
        <w:tc>
          <w:tcPr>
            <w:tcW w:type="dxa" w:w="1872"/>
            <w:vAlign w:val="center"/>
            <w:shd w:fill="24364B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20"/>
              </w:rPr>
              <w:t>频数与占比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before="0" w:after="0" w:line="260" w:lineRule="exact"/>
              <w:jc w:val="left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GPT-6 Astra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/>
                <w:color w:val="000000"/>
                <w:sz w:val="20"/>
              </w:rPr>
              <w:t>ISTJ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ISTJ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16/16  100%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2F5F8"/>
          </w:tcPr>
          <w:p>
            <w:pPr>
              <w:spacing w:before="0" w:after="0" w:line="260" w:lineRule="exact"/>
              <w:jc w:val="left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GPT-5.6 Luna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/>
                <w:color w:val="000000"/>
                <w:sz w:val="20"/>
              </w:rPr>
              <w:t>INTJ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INTJ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16/16  100%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before="0" w:after="0" w:line="260" w:lineRule="exact"/>
              <w:jc w:val="left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GPT-5.6 Terra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/>
                <w:color w:val="000000"/>
                <w:sz w:val="20"/>
              </w:rPr>
              <w:t>INTJ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INTJ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16/16  100%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2F5F8"/>
          </w:tcPr>
          <w:p>
            <w:pPr>
              <w:spacing w:before="0" w:after="0" w:line="260" w:lineRule="exact"/>
              <w:jc w:val="left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GPT-5.6 Sol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/>
                <w:color w:val="000000"/>
                <w:sz w:val="20"/>
              </w:rPr>
              <w:t>INTJ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INTJ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16/16  100%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before="0" w:after="0" w:line="260" w:lineRule="exact"/>
              <w:jc w:val="left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Claude Fable 5.1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/>
                <w:color w:val="000000"/>
                <w:sz w:val="20"/>
              </w:rPr>
              <w:t>INTJ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INTJ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9/16  56.25%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2F5F8"/>
          </w:tcPr>
          <w:p>
            <w:pPr>
              <w:spacing w:before="0" w:after="0" w:line="260" w:lineRule="exact"/>
              <w:jc w:val="left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Claude Opus 5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/>
                <w:color w:val="000000"/>
                <w:sz w:val="20"/>
              </w:rPr>
              <w:t>INTJ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INTJ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14/16  87.5%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before="0" w:after="0" w:line="260" w:lineRule="exact"/>
              <w:jc w:val="left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Claude Sonnet 5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/>
                <w:color w:val="000000"/>
                <w:sz w:val="20"/>
              </w:rPr>
              <w:t>INTJ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INTJ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13/16  81.25%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2F5F8"/>
          </w:tcPr>
          <w:p>
            <w:pPr>
              <w:spacing w:before="0" w:after="0" w:line="260" w:lineRule="exact"/>
              <w:jc w:val="left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Gemini 3.8 Flash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/>
                <w:color w:val="000000"/>
                <w:sz w:val="20"/>
              </w:rPr>
              <w:t>ISTJ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ISTJ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12/16  75%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before="0" w:after="0" w:line="260" w:lineRule="exact"/>
              <w:jc w:val="left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Gemini 3.6 Flash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/>
                <w:color w:val="000000"/>
                <w:sz w:val="20"/>
              </w:rPr>
              <w:t>ISTJ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ISTJ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10/16  62.5%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2F5F8"/>
          </w:tcPr>
          <w:p>
            <w:pPr>
              <w:spacing w:before="0" w:after="0" w:line="260" w:lineRule="exact"/>
              <w:jc w:val="left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DeepSeek V4.1 Flash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/>
                <w:color w:val="000000"/>
                <w:sz w:val="20"/>
              </w:rPr>
              <w:t>INTJ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INTJ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16/16  100%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before="0" w:after="0" w:line="260" w:lineRule="exact"/>
              <w:jc w:val="left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DeepSeek V4 Pro 0813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/>
                <w:color w:val="000000"/>
                <w:sz w:val="20"/>
              </w:rPr>
              <w:t>INTJ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INTJ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9/16  56.25%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2F5F8"/>
          </w:tcPr>
          <w:p>
            <w:pPr>
              <w:spacing w:before="0" w:after="0" w:line="260" w:lineRule="exact"/>
              <w:jc w:val="left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Qwen3.8 Max 0902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/>
                <w:color w:val="000000"/>
                <w:sz w:val="20"/>
              </w:rPr>
              <w:t>ISTJ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ISTJ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10/16  62.5%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before="0" w:after="0" w:line="260" w:lineRule="exact"/>
              <w:jc w:val="left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Qwen3.8-Flash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/>
                <w:color w:val="000000"/>
                <w:sz w:val="20"/>
              </w:rPr>
              <w:t>ISTJ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ISTJ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14/16  87.5%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2F5F8"/>
          </w:tcPr>
          <w:p>
            <w:pPr>
              <w:spacing w:before="0" w:after="0" w:line="260" w:lineRule="exact"/>
              <w:jc w:val="left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Doubao Seed 2.1 Pro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/>
                <w:color w:val="000000"/>
                <w:sz w:val="20"/>
              </w:rPr>
              <w:t>ISTJ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ISTJ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11/16  68.75%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before="0" w:after="0" w:line="260" w:lineRule="exact"/>
              <w:jc w:val="left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Grok 4.6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/>
                <w:color w:val="000000"/>
                <w:sz w:val="20"/>
              </w:rPr>
              <w:t>INTJ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INTJ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15/16  93.75%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2F5F8"/>
          </w:tcPr>
          <w:p>
            <w:pPr>
              <w:spacing w:before="0" w:after="0" w:line="260" w:lineRule="exact"/>
              <w:jc w:val="left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GLM 5.3 Flash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/>
                <w:color w:val="000000"/>
                <w:sz w:val="20"/>
              </w:rPr>
              <w:t>INTJ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INTJ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10/16  62.5%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before="0" w:after="0" w:line="260" w:lineRule="exact"/>
              <w:jc w:val="left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Kimi K3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/>
                <w:color w:val="000000"/>
                <w:sz w:val="20"/>
              </w:rPr>
              <w:t>INTJ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INTJ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16/16  100%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2F5F8"/>
          </w:tcPr>
          <w:p>
            <w:pPr>
              <w:spacing w:before="0" w:after="0" w:line="260" w:lineRule="exact"/>
              <w:jc w:val="left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MiniMax M3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未稳定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INFJ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5/16  31.25%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before="0" w:after="0" w:line="260" w:lineRule="exact"/>
              <w:jc w:val="left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ERNIE 5.1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未稳定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ISTJ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8/16  50%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2F5F8"/>
          </w:tcPr>
          <w:p>
            <w:pPr>
              <w:spacing w:before="0" w:after="0" w:line="260" w:lineRule="exact"/>
              <w:jc w:val="left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Hy3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/>
                <w:color w:val="000000"/>
                <w:sz w:val="20"/>
              </w:rPr>
              <w:t>ISTJ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ISTJ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11/16  68.75%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before="0" w:after="0" w:line="260" w:lineRule="exact"/>
              <w:jc w:val="left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MiMo V2.5 Pro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未稳定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INTJ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7/16  43.75%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2F5F8"/>
          </w:tcPr>
          <w:p>
            <w:pPr>
              <w:spacing w:before="0" w:after="0" w:line="260" w:lineRule="exact"/>
              <w:jc w:val="left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Step 3.7 Flash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/>
                <w:color w:val="000000"/>
                <w:sz w:val="20"/>
              </w:rPr>
              <w:t>ISTJ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ISTJ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12/16  75%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before="0" w:after="0" w:line="260" w:lineRule="exact"/>
              <w:jc w:val="left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LongCat 2.0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/>
                <w:color w:val="000000"/>
                <w:sz w:val="20"/>
              </w:rPr>
              <w:t>ISTJ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ISTJ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11/16  68.75%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2F5F8"/>
          </w:tcPr>
          <w:p>
            <w:pPr>
              <w:spacing w:before="0" w:after="0" w:line="260" w:lineRule="exact"/>
              <w:jc w:val="left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Ling 3.0 Tiny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未稳定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ESFJ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3/16  18.75%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before="0" w:after="0" w:line="260" w:lineRule="exact"/>
              <w:jc w:val="left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Ling-3.0-flash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未稳定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ISTJ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3/16  18.75%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2F5F8"/>
          </w:tcPr>
          <w:p>
            <w:pPr>
              <w:spacing w:before="0" w:after="0" w:line="260" w:lineRule="exact"/>
              <w:jc w:val="left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Muse Spark 1.3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/>
                <w:color w:val="000000"/>
                <w:sz w:val="20"/>
              </w:rPr>
              <w:t>INTJ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INTJ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10/16  62.5%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before="0" w:after="0" w:line="260" w:lineRule="exact"/>
              <w:jc w:val="left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Mistral Large 3 (Azure)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/>
                <w:color w:val="000000"/>
                <w:sz w:val="20"/>
              </w:rPr>
              <w:t>INTJ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INTJ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before="0" w:after="0" w:line="260" w:lineRule="exact"/>
              <w:jc w:val="center"/>
            </w:pPr>
            <w:r>
              <w:rPr>
                <w:rFonts w:ascii="Arial" w:hAnsi="Arial" w:eastAsia="Noto Sans SC"/>
                <w:b w:val="0"/>
                <w:color w:val="000000"/>
                <w:sz w:val="20"/>
              </w:rPr>
              <w:t>11/16  68.75%</w:t>
            </w:r>
          </w:p>
        </w:tc>
      </w:tr>
    </w:tbl>
    <w:p>
      <w:pPr>
        <w:widowControl/>
        <w:spacing w:before="0" w:after="100" w:line="290" w:lineRule="exact"/>
      </w:pPr>
      <w:r>
        <w:rPr>
          <w:rFonts w:ascii="Arial" w:hAnsi="Arial" w:eastAsia="Noto Sans SC"/>
          <w:b w:val="0"/>
          <w:color w:val="000000"/>
          <w:sz w:val="21"/>
        </w:rPr>
        <w:t>数据来源  ZenMux Arena  批次 20260911T040759  分析修订 20260917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Noto Sans SC"/>
        <w:b w:val="0"/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cstheme="minorBidi" w:eastAsia="Noto Sans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0" w:lineRule="exact"/>
      <w:snapToGrid w:val="0"/>
    </w:pPr>
    <w:rPr>
      <w:rFonts w:ascii="Arial" w:hAnsi="Arial" w:eastAsia="Noto Sans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320" w:lineRule="exact"/>
      <w:snapToGrid w:val="0"/>
    </w:pPr>
    <w:rPr>
      <w:rFonts w:ascii="Arial" w:hAnsi="Arial" w:eastAsia="Noto Sans SC"/>
      <w:b w:val="0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400" w:lineRule="exact"/>
      <w:outlineLvl w:val="0"/>
      <w:snapToGrid w:val="0"/>
    </w:pPr>
    <w:rPr>
      <w:rFonts w:ascii="Arial" w:hAnsi="Arial" w:eastAsia="Noto Sans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320" w:lineRule="exact"/>
      <w:outlineLvl w:val="1"/>
      <w:snapToGrid w:val="0"/>
    </w:pPr>
    <w:rPr>
      <w:rFonts w:ascii="Arial" w:hAnsi="Arial" w:eastAsia="Noto Sans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cstheme="majorBidi" w:eastAsia="Noto Sans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="Noto Sans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="Noto Sans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="Noto Sans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="Noto Sans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="Noto Sans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="Noto Sans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hAnsiTheme="majorHAnsi" w:cstheme="majorBidi" w:eastAsia="Noto Sans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hAnsiTheme="majorHAnsi" w:cstheme="majorBidi" w:eastAsia="Noto Sans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hAnsiTheme="majorHAnsi" w:cstheme="majorBidi" w:eastAsia="Noto Sans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640" w:lineRule="exact"/>
      <w:contextualSpacing/>
      <w:snapToGrid w:val="0"/>
    </w:pPr>
    <w:rPr>
      <w:rFonts w:ascii="Arial" w:hAnsi="Arial" w:eastAsia="Noto Sans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hAnsiTheme="majorHAnsi" w:cstheme="majorBidi" w:eastAsia="Noto Sans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40" w:line="280" w:lineRule="exact"/>
      <w:snapToGrid w:val="0"/>
    </w:pPr>
    <w:rPr>
      <w:rFonts w:ascii="Arial" w:hAnsi="Arial" w:eastAsia="Noto Sans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hAnsiTheme="majorHAnsi" w:cstheme="majorBidi" w:eastAsia="Noto Sans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Noto Sans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Noto Sans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cstheme="majorBidi" w:eastAsia="Noto Sans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cstheme="majorBidi" w:eastAsia="Noto Sans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cstheme="majorBidi" w:eastAsia="Noto Sans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cstheme="majorBidi" w:eastAsia="Noto Sans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cstheme="majorBidi" w:eastAsia="Noto Sans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cstheme="majorBidi" w:eastAsia="Noto Sans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Noto Sans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Noto Sans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hAnsiTheme="majorHAnsi" w:cstheme="majorBidi" w:eastAsia="Noto Sans SC"/>
        <w:b/>
        <w:bCs/>
      </w:rPr>
    </w:tblStylePr>
    <w:tblStylePr w:type="lastCol">
      <w:rPr>
        <w:rFonts w:asciiTheme="majorHAnsi" w:hAnsiTheme="majorHAnsi" w:cstheme="majorBidi" w:eastAsia="Noto Sans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Noto Sans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Noto Sans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hAnsiTheme="majorHAnsi" w:cstheme="majorBidi" w:eastAsia="Noto Sans SC"/>
        <w:b/>
        <w:bCs/>
      </w:rPr>
    </w:tblStylePr>
    <w:tblStylePr w:type="lastCol">
      <w:rPr>
        <w:rFonts w:asciiTheme="majorHAnsi" w:hAnsiTheme="majorHAnsi" w:cstheme="majorBidi" w:eastAsia="Noto Sans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Noto Sans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Noto Sans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hAnsiTheme="majorHAnsi" w:cstheme="majorBidi" w:eastAsia="Noto Sans SC"/>
        <w:b/>
        <w:bCs/>
      </w:rPr>
    </w:tblStylePr>
    <w:tblStylePr w:type="lastCol">
      <w:rPr>
        <w:rFonts w:asciiTheme="majorHAnsi" w:hAnsiTheme="majorHAnsi" w:cstheme="majorBidi" w:eastAsia="Noto Sans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Noto Sans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Noto Sans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hAnsiTheme="majorHAnsi" w:cstheme="majorBidi" w:eastAsia="Noto Sans SC"/>
        <w:b/>
        <w:bCs/>
      </w:rPr>
    </w:tblStylePr>
    <w:tblStylePr w:type="lastCol">
      <w:rPr>
        <w:rFonts w:asciiTheme="majorHAnsi" w:hAnsiTheme="majorHAnsi" w:cstheme="majorBidi" w:eastAsia="Noto Sans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Noto Sans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Noto Sans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hAnsiTheme="majorHAnsi" w:cstheme="majorBidi" w:eastAsia="Noto Sans SC"/>
        <w:b/>
        <w:bCs/>
      </w:rPr>
    </w:tblStylePr>
    <w:tblStylePr w:type="lastCol">
      <w:rPr>
        <w:rFonts w:asciiTheme="majorHAnsi" w:hAnsiTheme="majorHAnsi" w:cstheme="majorBidi" w:eastAsia="Noto Sans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Noto Sans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Noto Sans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hAnsiTheme="majorHAnsi" w:cstheme="majorBidi" w:eastAsia="Noto Sans SC"/>
        <w:b/>
        <w:bCs/>
      </w:rPr>
    </w:tblStylePr>
    <w:tblStylePr w:type="lastCol">
      <w:rPr>
        <w:rFonts w:asciiTheme="majorHAnsi" w:hAnsiTheme="majorHAnsi" w:cstheme="majorBidi" w:eastAsia="Noto Sans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Noto Sans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Noto Sans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hAnsiTheme="majorHAnsi" w:cstheme="majorBidi" w:eastAsia="Noto Sans SC"/>
        <w:b/>
        <w:bCs/>
      </w:rPr>
    </w:tblStylePr>
    <w:tblStylePr w:type="lastCol">
      <w:rPr>
        <w:rFonts w:asciiTheme="majorHAnsi" w:hAnsiTheme="majorHAnsi" w:cstheme="majorBidi" w:eastAsia="Noto Sans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Noto Sans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Noto Sans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Noto Sans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Noto Sans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Noto Sans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Noto Sans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Noto Sans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Noto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Noto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Noto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Noto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Noto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Noto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Noto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Noto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Noto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Noto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Noto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Noto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Noto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Noto Sans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大模型 MBTI 测试结果总结</dc:title>
  <dc:subject>27 款模型的 OEJTS 重复问卷结果</dc:subject>
  <dc:creator>ZenMux Arena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