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line="276"/>
        <w:jc w:val="center"/>
      </w:pPr>
      <w:r>
        <w:rPr>
          <w:rFonts w:ascii="Times New Roman" w:cs="Times New Roman" w:eastAsia="Times New Roman" w:hAnsi="Times New Roman"/>
          <w:b/>
          <w:bCs/>
          <w:sz w:val="24"/>
          <w:szCs w:val="24"/>
        </w:rPr>
        <w:t xml:space="preserve">TRANSMITTAL LETTER</w:t>
      </w:r>
    </w:p>
    <w:p>
      <w:pPr>
        <w:spacing w:after="100" w:line="276"/>
        <w:jc w:val="center"/>
      </w:pPr>
      <w:r>
        <w:rPr>
          <w:rFonts w:ascii="Times New Roman" w:cs="Times New Roman" w:eastAsia="Times New Roman" w:hAnsi="Times New Roman"/>
          <w:b/>
          <w:bCs/>
          <w:sz w:val="24"/>
          <w:szCs w:val="24"/>
        </w:rPr>
        <w:t xml:space="preserve">PRELIMINARY AMENDMENT — SUBMISSION OF FORMAL DRAWINGS</w:t>
      </w:r>
    </w:p>
    <w:p>
      <w:pPr>
        <w:spacing w:after="400" w:line="276"/>
        <w:jc w:val="center"/>
      </w:pPr>
      <w:r>
        <w:rPr>
          <w:rFonts w:ascii="Times New Roman" w:cs="Times New Roman" w:eastAsia="Times New Roman" w:hAnsi="Times New Roman"/>
          <w:b/>
          <w:bCs/>
          <w:sz w:val="24"/>
          <w:szCs w:val="24"/>
        </w:rPr>
        <w:t xml:space="preserve">AND AMENDED SPECIFICATION</w:t>
      </w:r>
    </w:p>
    <w:p>
      <w:pPr>
        <w:spacing w:after="200" w:line="276"/>
        <w:jc w:val="left"/>
      </w:pPr>
      <w:r>
        <w:rPr>
          <w:rFonts w:ascii="Times New Roman" w:cs="Times New Roman" w:eastAsia="Times New Roman" w:hAnsi="Times New Roman"/>
          <w:sz w:val="24"/>
          <w:szCs w:val="24"/>
        </w:rPr>
        <w:t xml:space="preserve">April 2, 2026</w:t>
      </w:r>
    </w:p>
    <w:p>
      <w:pPr>
        <w:spacing w:after="100"/>
      </w:pPr>
    </w:p>
    <w:p>
      <w:pPr>
        <w:spacing w:after="200" w:line="276"/>
        <w:jc w:val="left"/>
      </w:pPr>
      <w:r>
        <w:rPr>
          <w:rFonts w:ascii="Times New Roman" w:cs="Times New Roman" w:eastAsia="Times New Roman" w:hAnsi="Times New Roman"/>
          <w:sz w:val="24"/>
          <w:szCs w:val="24"/>
        </w:rPr>
        <w:t xml:space="preserve">Commissioner for Patents</w:t>
      </w:r>
    </w:p>
    <w:p>
      <w:pPr>
        <w:spacing w:after="200" w:line="276"/>
        <w:jc w:val="left"/>
      </w:pPr>
      <w:r>
        <w:rPr>
          <w:rFonts w:ascii="Times New Roman" w:cs="Times New Roman" w:eastAsia="Times New Roman" w:hAnsi="Times New Roman"/>
          <w:sz w:val="24"/>
          <w:szCs w:val="24"/>
        </w:rPr>
        <w:t xml:space="preserve">United States Patent and Trademark Office</w:t>
      </w:r>
    </w:p>
    <w:p>
      <w:pPr>
        <w:spacing w:after="200" w:line="276"/>
        <w:jc w:val="left"/>
      </w:pPr>
      <w:r>
        <w:rPr>
          <w:rFonts w:ascii="Times New Roman" w:cs="Times New Roman" w:eastAsia="Times New Roman" w:hAnsi="Times New Roman"/>
          <w:sz w:val="24"/>
          <w:szCs w:val="24"/>
        </w:rPr>
        <w:t xml:space="preserve">P.O. Box 1450</w:t>
      </w:r>
    </w:p>
    <w:p>
      <w:pPr>
        <w:spacing w:after="300" w:line="276"/>
        <w:jc w:val="left"/>
      </w:pPr>
      <w:r>
        <w:rPr>
          <w:rFonts w:ascii="Times New Roman" w:cs="Times New Roman" w:eastAsia="Times New Roman" w:hAnsi="Times New Roman"/>
          <w:sz w:val="24"/>
          <w:szCs w:val="24"/>
        </w:rPr>
        <w:t xml:space="preserve">Alexandria, VA 22313-1450</w:t>
      </w:r>
    </w:p>
    <w:p>
      <w:pPr>
        <w:spacing w:after="200" w:line="276"/>
        <w:jc w:val="left"/>
      </w:pPr>
      <w:r>
        <w:rPr>
          <w:rFonts w:ascii="Times New Roman" w:cs="Times New Roman" w:eastAsia="Times New Roman" w:hAnsi="Times New Roman"/>
          <w:b/>
          <w:bCs/>
          <w:sz w:val="24"/>
          <w:szCs w:val="24"/>
        </w:rPr>
        <w:t xml:space="preserve">Re:</w:t>
      </w:r>
      <w:r>
        <w:rPr>
          <w:rFonts w:ascii="Times New Roman" w:cs="Times New Roman" w:eastAsia="Times New Roman" w:hAnsi="Times New Roman"/>
          <w:sz w:val="24"/>
          <w:szCs w:val="24"/>
        </w:rPr>
        <w:t xml:space="preserve">  Preliminary Amendment</w:t>
      </w:r>
    </w:p>
    <w:p>
      <w:pPr>
        <w:spacing w:after="200" w:line="276"/>
        <w:jc w:val="left"/>
      </w:pPr>
      <w:r>
        <w:rPr>
          <w:rFonts w:ascii="Times New Roman" w:cs="Times New Roman" w:eastAsia="Times New Roman" w:hAnsi="Times New Roman"/>
          <w:b/>
          <w:bCs/>
          <w:sz w:val="24"/>
          <w:szCs w:val="24"/>
        </w:rPr>
        <w:t xml:space="preserve">Application No.:</w:t>
      </w:r>
      <w:r>
        <w:rPr>
          <w:rFonts w:ascii="Times New Roman" w:cs="Times New Roman" w:eastAsia="Times New Roman" w:hAnsi="Times New Roman"/>
          <w:sz w:val="24"/>
          <w:szCs w:val="24"/>
        </w:rPr>
        <w:t xml:space="preserve">  19/634,402</w:t>
      </w:r>
    </w:p>
    <w:p>
      <w:pPr>
        <w:spacing w:after="200" w:line="276"/>
        <w:jc w:val="left"/>
      </w:pPr>
      <w:r>
        <w:rPr>
          <w:rFonts w:ascii="Times New Roman" w:cs="Times New Roman" w:eastAsia="Times New Roman" w:hAnsi="Times New Roman"/>
          <w:b/>
          <w:bCs/>
          <w:sz w:val="24"/>
          <w:szCs w:val="24"/>
        </w:rPr>
        <w:t xml:space="preserve">Confirmation No.:</w:t>
      </w:r>
      <w:r>
        <w:rPr>
          <w:rFonts w:ascii="Times New Roman" w:cs="Times New Roman" w:eastAsia="Times New Roman" w:hAnsi="Times New Roman"/>
          <w:sz w:val="24"/>
          <w:szCs w:val="24"/>
        </w:rPr>
        <w:t xml:space="preserve">  4783</w:t>
      </w:r>
    </w:p>
    <w:p>
      <w:pPr>
        <w:spacing w:after="200" w:line="276"/>
        <w:jc w:val="left"/>
      </w:pPr>
      <w:r>
        <w:rPr>
          <w:rFonts w:ascii="Times New Roman" w:cs="Times New Roman" w:eastAsia="Times New Roman" w:hAnsi="Times New Roman"/>
          <w:b/>
          <w:bCs/>
          <w:sz w:val="24"/>
          <w:szCs w:val="24"/>
        </w:rPr>
        <w:t xml:space="preserve">Filed:</w:t>
      </w:r>
      <w:r>
        <w:rPr>
          <w:rFonts w:ascii="Times New Roman" w:cs="Times New Roman" w:eastAsia="Times New Roman" w:hAnsi="Times New Roman"/>
          <w:sz w:val="24"/>
          <w:szCs w:val="24"/>
        </w:rPr>
        <w:t xml:space="preserve">  March 31, 2026</w:t>
      </w:r>
    </w:p>
    <w:p>
      <w:pPr>
        <w:spacing w:after="200" w:line="276"/>
        <w:jc w:val="left"/>
      </w:pPr>
      <w:r>
        <w:rPr>
          <w:rFonts w:ascii="Times New Roman" w:cs="Times New Roman" w:eastAsia="Times New Roman" w:hAnsi="Times New Roman"/>
          <w:b/>
          <w:bCs/>
          <w:sz w:val="24"/>
          <w:szCs w:val="24"/>
        </w:rPr>
        <w:t xml:space="preserve">Title:</w:t>
      </w:r>
      <w:r>
        <w:rPr>
          <w:rFonts w:ascii="Times New Roman" w:cs="Times New Roman" w:eastAsia="Times New Roman" w:hAnsi="Times New Roman"/>
          <w:sz w:val="24"/>
          <w:szCs w:val="24"/>
        </w:rPr>
        <w:t xml:space="preserve">  System and Method for Tokenizing and Gamifying Verified Clean Energy and Real-World Activity Using Blockchain Technology</w:t>
      </w:r>
    </w:p>
    <w:p>
      <w:pPr>
        <w:spacing w:after="200" w:line="276"/>
        <w:jc w:val="left"/>
      </w:pPr>
      <w:r>
        <w:rPr>
          <w:rFonts w:ascii="Times New Roman" w:cs="Times New Roman" w:eastAsia="Times New Roman" w:hAnsi="Times New Roman"/>
          <w:b/>
          <w:bCs/>
          <w:sz w:val="24"/>
          <w:szCs w:val="24"/>
        </w:rPr>
        <w:t xml:space="preserve">Applicant:</w:t>
      </w:r>
      <w:r>
        <w:rPr>
          <w:rFonts w:ascii="Times New Roman" w:cs="Times New Roman" w:eastAsia="Times New Roman" w:hAnsi="Times New Roman"/>
          <w:sz w:val="24"/>
          <w:szCs w:val="24"/>
        </w:rPr>
        <w:t xml:space="preserve">  ZenSolar Technologies, Inc.</w:t>
      </w:r>
    </w:p>
    <w:p>
      <w:pPr>
        <w:spacing w:after="300" w:line="276"/>
        <w:jc w:val="left"/>
      </w:pPr>
      <w:r>
        <w:rPr>
          <w:rFonts w:ascii="Times New Roman" w:cs="Times New Roman" w:eastAsia="Times New Roman" w:hAnsi="Times New Roman"/>
          <w:b/>
          <w:bCs/>
          <w:sz w:val="24"/>
          <w:szCs w:val="24"/>
        </w:rPr>
        <w:t xml:space="preserve">Docket No.:</w:t>
      </w:r>
      <w:r>
        <w:rPr>
          <w:rFonts w:ascii="Times New Roman" w:cs="Times New Roman" w:eastAsia="Times New Roman" w:hAnsi="Times New Roman"/>
          <w:sz w:val="24"/>
          <w:szCs w:val="24"/>
        </w:rPr>
        <w:t xml:space="preserve">  ZEN-001</w:t>
      </w:r>
    </w:p>
    <w:p>
      <w:pPr>
        <w:spacing w:after="200" w:line="276"/>
        <w:jc w:val="left"/>
      </w:pPr>
      <w:r>
        <w:rPr>
          <w:rFonts w:ascii="Times New Roman" w:cs="Times New Roman" w:eastAsia="Times New Roman" w:hAnsi="Times New Roman"/>
          <w:sz w:val="24"/>
          <w:szCs w:val="24"/>
        </w:rPr>
        <w:t xml:space="preserve">Dear Commissioner:</w:t>
      </w:r>
    </w:p>
    <w:p>
      <w:pPr>
        <w:spacing w:after="100"/>
      </w:pPr>
    </w:p>
    <w:p>
      <w:pPr>
        <w:spacing w:after="200" w:line="276"/>
        <w:jc w:val="left"/>
      </w:pPr>
      <w:r>
        <w:rPr>
          <w:rFonts w:ascii="Times New Roman" w:cs="Times New Roman" w:eastAsia="Times New Roman" w:hAnsi="Times New Roman"/>
          <w:sz w:val="24"/>
          <w:szCs w:val="24"/>
        </w:rPr>
        <w:t xml:space="preserve">Pursuant to 37 C.F.R. § 1.115, the undersigned hereby submits this Preliminary Amendment in the above-identified application prior to issuance of a first Office Action. This submission includes the following:</w:t>
      </w:r>
    </w:p>
    <w:p>
      <w:pPr>
        <w:spacing w:after="100"/>
      </w:pPr>
    </w:p>
    <w:p>
      <w:pPr>
        <w:spacing w:after="200" w:line="276"/>
        <w:jc w:val="left"/>
      </w:pPr>
      <w:r>
        <w:rPr>
          <w:rFonts w:ascii="Times New Roman" w:cs="Times New Roman" w:eastAsia="Times New Roman" w:hAnsi="Times New Roman"/>
          <w:b/>
          <w:bCs/>
          <w:sz w:val="24"/>
          <w:szCs w:val="24"/>
        </w:rPr>
        <w:t xml:space="preserve">1. Formal Patent Drawings (12 Sheets)</w:t>
      </w:r>
    </w:p>
    <w:p>
      <w:pPr>
        <w:spacing w:after="200" w:line="276"/>
        <w:ind w:left="360"/>
        <w:jc w:val="left"/>
      </w:pPr>
      <w:r>
        <w:rPr>
          <w:rFonts w:ascii="Times New Roman" w:cs="Times New Roman" w:eastAsia="Times New Roman" w:hAnsi="Times New Roman"/>
          <w:sz w:val="24"/>
          <w:szCs w:val="24"/>
        </w:rPr>
        <w:t xml:space="preserve">Twelve (12) sheets of formal drawings prepared in compliance with 37 C.F.R. § 1.84, comprising FIGS. 1–12, are submitted herewith to replace the placeholder drawing descriptions included in the specification as originally filed. The drawings were prepared by a professional patent illustrator and conform to USPTO standards for line quality, shading, reference numerals, and sheet formatting.</w:t>
      </w:r>
    </w:p>
    <w:p>
      <w:pPr>
        <w:spacing w:after="100"/>
      </w:pPr>
    </w:p>
    <w:p>
      <w:pPr>
        <w:spacing w:after="200" w:line="276"/>
        <w:jc w:val="left"/>
      </w:pPr>
      <w:r>
        <w:rPr>
          <w:rFonts w:ascii="Times New Roman" w:cs="Times New Roman" w:eastAsia="Times New Roman" w:hAnsi="Times New Roman"/>
          <w:b/>
          <w:bCs/>
          <w:sz w:val="24"/>
          <w:szCs w:val="24"/>
        </w:rPr>
        <w:t xml:space="preserve">2. Amended Specification</w:t>
      </w:r>
    </w:p>
    <w:p>
      <w:pPr>
        <w:spacing w:after="200" w:line="276"/>
        <w:ind w:left="360"/>
        <w:jc w:val="left"/>
      </w:pPr>
      <w:r>
        <w:rPr>
          <w:rFonts w:ascii="Times New Roman" w:cs="Times New Roman" w:eastAsia="Times New Roman" w:hAnsi="Times New Roman"/>
          <w:sz w:val="24"/>
          <w:szCs w:val="24"/>
        </w:rPr>
        <w:t xml:space="preserve">An amended specification is submitted to update the Brief Description of the Drawings and Detailed Description sections to precisely match the content depicted in the formal drawings. The amendments affect the following sections:</w:t>
      </w:r>
    </w:p>
    <w:p>
      <w:pPr>
        <w:spacing w:after="100"/>
      </w:pPr>
    </w:p>
    <w:p>
      <w:pPr>
        <w:spacing w:after="200" w:line="276"/>
        <w:ind w:left="720"/>
        <w:jc w:val="left"/>
      </w:pPr>
      <w:r>
        <w:rPr>
          <w:rFonts w:ascii="Times New Roman" w:cs="Times New Roman" w:eastAsia="Times New Roman" w:hAnsi="Times New Roman"/>
          <w:b/>
          <w:bCs/>
          <w:sz w:val="24"/>
          <w:szCs w:val="24"/>
        </w:rPr>
        <w:t xml:space="preserve">Brief Description of the Drawings:</w:t>
      </w:r>
    </w:p>
    <w:p>
      <w:pPr>
        <w:spacing w:after="200" w:line="276"/>
        <w:ind w:left="1080"/>
        <w:jc w:val="left"/>
      </w:pPr>
      <w:r>
        <w:rPr>
          <w:rFonts w:ascii="Times New Roman" w:cs="Times New Roman" w:eastAsia="Times New Roman" w:hAnsi="Times New Roman"/>
          <w:sz w:val="24"/>
          <w:szCs w:val="24"/>
        </w:rPr>
        <w:t xml:space="preserve">• FIG. 10 description amended to describe the baseline initialization engine as depicted</w:t>
      </w:r>
    </w:p>
    <w:p>
      <w:pPr>
        <w:spacing w:after="200" w:line="276"/>
        <w:ind w:left="1080"/>
        <w:jc w:val="left"/>
      </w:pPr>
      <w:r>
        <w:rPr>
          <w:rFonts w:ascii="Times New Roman" w:cs="Times New Roman" w:eastAsia="Times New Roman" w:hAnsi="Times New Roman"/>
          <w:sz w:val="24"/>
          <w:szCs w:val="24"/>
        </w:rPr>
        <w:t xml:space="preserve">• FIG. 11 description amended to describe the token distribution and settlement architecture as depicted</w:t>
      </w:r>
    </w:p>
    <w:p>
      <w:pPr>
        <w:spacing w:after="200" w:line="276"/>
        <w:ind w:left="1080"/>
        <w:jc w:val="left"/>
      </w:pPr>
      <w:r>
        <w:rPr>
          <w:rFonts w:ascii="Times New Roman" w:cs="Times New Roman" w:eastAsia="Times New Roman" w:hAnsi="Times New Roman"/>
          <w:sz w:val="24"/>
          <w:szCs w:val="24"/>
        </w:rPr>
        <w:t xml:space="preserve">• FIG. 12 description amended to describe the organizational aggregation hub as depicted</w:t>
      </w:r>
    </w:p>
    <w:p>
      <w:pPr>
        <w:spacing w:after="100"/>
      </w:pPr>
    </w:p>
    <w:p>
      <w:pPr>
        <w:spacing w:after="200" w:line="276"/>
        <w:ind w:left="720"/>
        <w:jc w:val="left"/>
      </w:pPr>
      <w:r>
        <w:rPr>
          <w:rFonts w:ascii="Times New Roman" w:cs="Times New Roman" w:eastAsia="Times New Roman" w:hAnsi="Times New Roman"/>
          <w:b/>
          <w:bCs/>
          <w:sz w:val="24"/>
          <w:szCs w:val="24"/>
        </w:rPr>
        <w:t xml:space="preserve">Detailed Description of the Invention:</w:t>
      </w:r>
    </w:p>
    <w:p>
      <w:pPr>
        <w:spacing w:after="200" w:line="276"/>
        <w:ind w:left="1080"/>
        <w:jc w:val="left"/>
      </w:pPr>
      <w:r>
        <w:rPr>
          <w:rFonts w:ascii="Times New Roman" w:cs="Times New Roman" w:eastAsia="Times New Roman" w:hAnsi="Times New Roman"/>
          <w:sz w:val="24"/>
          <w:szCs w:val="24"/>
        </w:rPr>
        <w:t xml:space="preserve">• Section VII (Baseline Initialization Engine) amended to align with FIG. 10</w:t>
      </w:r>
    </w:p>
    <w:p>
      <w:pPr>
        <w:spacing w:after="200" w:line="276"/>
        <w:ind w:left="1080"/>
        <w:jc w:val="left"/>
      </w:pPr>
      <w:r>
        <w:rPr>
          <w:rFonts w:ascii="Times New Roman" w:cs="Times New Roman" w:eastAsia="Times New Roman" w:hAnsi="Times New Roman"/>
          <w:sz w:val="24"/>
          <w:szCs w:val="24"/>
        </w:rPr>
        <w:t xml:space="preserve">• Section VIII (Token Distribution and Settlement) amended to align with FIG. 11</w:t>
      </w:r>
    </w:p>
    <w:p>
      <w:pPr>
        <w:spacing w:after="200" w:line="276"/>
        <w:ind w:left="1080"/>
        <w:jc w:val="left"/>
      </w:pPr>
      <w:r>
        <w:rPr>
          <w:rFonts w:ascii="Times New Roman" w:cs="Times New Roman" w:eastAsia="Times New Roman" w:hAnsi="Times New Roman"/>
          <w:sz w:val="24"/>
          <w:szCs w:val="24"/>
        </w:rPr>
        <w:t xml:space="preserve">• Section IX (Organizational Aggregation Hub) amended to align with FIG. 12</w:t>
      </w:r>
    </w:p>
    <w:p>
      <w:pPr>
        <w:spacing w:after="100"/>
      </w:pPr>
    </w:p>
    <w:p>
      <w:pPr>
        <w:spacing w:after="200" w:line="276"/>
        <w:jc w:val="left"/>
      </w:pPr>
      <w:r>
        <w:rPr>
          <w:rFonts w:ascii="Times New Roman" w:cs="Times New Roman" w:eastAsia="Times New Roman" w:hAnsi="Times New Roman"/>
          <w:b/>
          <w:bCs/>
          <w:sz w:val="24"/>
          <w:szCs w:val="24"/>
        </w:rPr>
        <w:t xml:space="preserve">3. No New Matter</w:t>
      </w:r>
    </w:p>
    <w:p>
      <w:pPr>
        <w:spacing w:after="200" w:line="276"/>
        <w:ind w:left="360"/>
        <w:jc w:val="left"/>
      </w:pPr>
      <w:r>
        <w:rPr>
          <w:rFonts w:ascii="Times New Roman" w:cs="Times New Roman" w:eastAsia="Times New Roman" w:hAnsi="Times New Roman"/>
          <w:sz w:val="24"/>
          <w:szCs w:val="24"/>
        </w:rPr>
        <w:t xml:space="preserve">Applicant respectfully submits that the amendments contained herein do not introduce new matter under 35 U.S.C. § 132. All amended descriptions are fully supported by the original disclosure and merely conform the specification text to the formal drawing content that was contemplated at the time of filing.</w:t>
      </w:r>
    </w:p>
    <w:p>
      <w:pPr>
        <w:spacing w:after="100"/>
      </w:pPr>
    </w:p>
    <w:p>
      <w:pPr>
        <w:spacing w:after="200" w:line="276"/>
        <w:jc w:val="left"/>
      </w:pPr>
      <w:r>
        <w:rPr>
          <w:rFonts w:ascii="Times New Roman" w:cs="Times New Roman" w:eastAsia="Times New Roman" w:hAnsi="Times New Roman"/>
          <w:b/>
          <w:bCs/>
          <w:sz w:val="24"/>
          <w:szCs w:val="24"/>
        </w:rPr>
        <w:t xml:space="preserve">4. Claims</w:t>
      </w:r>
    </w:p>
    <w:p>
      <w:pPr>
        <w:spacing w:after="200" w:line="276"/>
        <w:ind w:left="360"/>
        <w:jc w:val="left"/>
      </w:pPr>
      <w:r>
        <w:rPr>
          <w:rFonts w:ascii="Times New Roman" w:cs="Times New Roman" w:eastAsia="Times New Roman" w:hAnsi="Times New Roman"/>
          <w:sz w:val="24"/>
          <w:szCs w:val="24"/>
        </w:rPr>
        <w:t xml:space="preserve">No amendments to the claims are submitted at this time. Claims 1–13 as originally filed remain unchanged.</w:t>
      </w:r>
    </w:p>
    <w:p>
      <w:pPr>
        <w:spacing w:after="100"/>
      </w:pPr>
    </w:p>
    <w:p>
      <w:pPr>
        <w:spacing w:after="200" w:line="276"/>
        <w:jc w:val="left"/>
      </w:pPr>
      <w:r>
        <w:rPr>
          <w:rFonts w:ascii="Times New Roman" w:cs="Times New Roman" w:eastAsia="Times New Roman" w:hAnsi="Times New Roman"/>
          <w:b/>
          <w:bCs/>
          <w:sz w:val="24"/>
          <w:szCs w:val="24"/>
        </w:rPr>
        <w:t xml:space="preserve">5. Entity Status</w:t>
      </w:r>
    </w:p>
    <w:p>
      <w:pPr>
        <w:spacing w:after="200" w:line="276"/>
        <w:ind w:left="360"/>
        <w:jc w:val="left"/>
      </w:pPr>
      <w:r>
        <w:rPr>
          <w:rFonts w:ascii="Times New Roman" w:cs="Times New Roman" w:eastAsia="Times New Roman" w:hAnsi="Times New Roman"/>
          <w:sz w:val="24"/>
          <w:szCs w:val="24"/>
        </w:rPr>
        <w:t xml:space="preserve">Applicant certifies Micro Entity status under 37 C.F.R. § 1.29 as previously established at the time of filing.</w:t>
      </w:r>
    </w:p>
    <w:p>
      <w:pPr>
        <w:spacing w:after="100"/>
      </w:pPr>
    </w:p>
    <w:p>
      <w:pPr>
        <w:spacing w:after="200" w:line="276"/>
        <w:jc w:val="left"/>
      </w:pPr>
      <w:r>
        <w:rPr>
          <w:rFonts w:ascii="Times New Roman" w:cs="Times New Roman" w:eastAsia="Times New Roman" w:hAnsi="Times New Roman"/>
          <w:b/>
          <w:bCs/>
          <w:sz w:val="24"/>
          <w:szCs w:val="24"/>
        </w:rPr>
        <w:t xml:space="preserve">6. Fees</w:t>
      </w:r>
    </w:p>
    <w:p>
      <w:pPr>
        <w:spacing w:after="200" w:line="276"/>
        <w:ind w:left="360"/>
        <w:jc w:val="left"/>
      </w:pPr>
      <w:r>
        <w:rPr>
          <w:rFonts w:ascii="Times New Roman" w:cs="Times New Roman" w:eastAsia="Times New Roman" w:hAnsi="Times New Roman"/>
          <w:sz w:val="24"/>
          <w:szCs w:val="24"/>
        </w:rPr>
        <w:t xml:space="preserve">It is believed that no additional fees are required for this Preliminary Amendment. However, the Commissioner is hereby authorized to charge any additional fees that may be required, or credit any overpayment, to Deposit Account No. [TO BE PROVIDED] or charge to the credit card on file.</w:t>
      </w:r>
    </w:p>
    <w:p>
      <w:pPr>
        <w:spacing w:after="100"/>
      </w:pPr>
    </w:p>
    <w:p>
      <w:pPr>
        <w:spacing w:after="100"/>
      </w:pPr>
    </w:p>
    <w:p>
      <w:pPr>
        <w:spacing w:after="200" w:line="276"/>
        <w:jc w:val="left"/>
      </w:pPr>
      <w:r>
        <w:rPr>
          <w:rFonts w:ascii="Times New Roman" w:cs="Times New Roman" w:eastAsia="Times New Roman" w:hAnsi="Times New Roman"/>
          <w:sz w:val="24"/>
          <w:szCs w:val="24"/>
        </w:rPr>
        <w:t xml:space="preserve">Respectfully submitted,</w:t>
      </w:r>
    </w:p>
    <w:p>
      <w:pPr>
        <w:spacing w:after="100"/>
      </w:pPr>
    </w:p>
    <w:p>
      <w:pPr>
        <w:spacing w:after="100"/>
      </w:pPr>
    </w:p>
    <w:p>
      <w:pPr>
        <w:spacing w:after="100"/>
      </w:pPr>
    </w:p>
    <w:p>
      <w:pPr>
        <w:spacing w:after="200" w:line="276"/>
        <w:jc w:val="left"/>
      </w:pPr>
      <w:r>
        <w:rPr>
          <w:rFonts w:ascii="Times New Roman" w:cs="Times New Roman" w:eastAsia="Times New Roman" w:hAnsi="Times New Roman"/>
          <w:sz w:val="24"/>
          <w:szCs w:val="24"/>
        </w:rPr>
        <w:t xml:space="preserve">_________________________________</w:t>
      </w:r>
    </w:p>
    <w:p>
      <w:pPr>
        <w:spacing w:after="200" w:line="276"/>
        <w:jc w:val="left"/>
      </w:pPr>
      <w:r>
        <w:rPr>
          <w:rFonts w:ascii="Times New Roman" w:cs="Times New Roman" w:eastAsia="Times New Roman" w:hAnsi="Times New Roman"/>
          <w:b/>
          <w:bCs/>
          <w:sz w:val="24"/>
          <w:szCs w:val="24"/>
        </w:rPr>
        <w:t xml:space="preserve">ZenSolar Technologies, Inc.</w:t>
      </w:r>
    </w:p>
    <w:p>
      <w:pPr>
        <w:spacing w:after="200" w:line="276"/>
        <w:jc w:val="left"/>
      </w:pPr>
      <w:r>
        <w:rPr>
          <w:rFonts w:ascii="Times New Roman" w:cs="Times New Roman" w:eastAsia="Times New Roman" w:hAnsi="Times New Roman"/>
          <w:sz w:val="24"/>
          <w:szCs w:val="24"/>
        </w:rPr>
        <w:t xml:space="preserve">Applicant, Pro Se</w:t>
      </w:r>
    </w:p>
    <w:p>
      <w:pPr>
        <w:spacing w:after="100"/>
      </w:pPr>
    </w:p>
    <w:p>
      <w:pPr>
        <w:spacing w:after="200" w:line="276"/>
        <w:jc w:val="left"/>
      </w:pPr>
      <w:r>
        <w:rPr>
          <w:rFonts w:ascii="Times New Roman" w:cs="Times New Roman" w:eastAsia="Times New Roman" w:hAnsi="Times New Roman"/>
          <w:sz w:val="24"/>
          <w:szCs w:val="24"/>
        </w:rPr>
        <w:t xml:space="preserve">Date: </w:t>
      </w:r>
      <w:r>
        <w:rPr>
          <w:rFonts w:ascii="Times New Roman" w:cs="Times New Roman" w:eastAsia="Times New Roman" w:hAnsi="Times New Roman"/>
          <w:sz w:val="24"/>
          <w:szCs w:val="24"/>
        </w:rPr>
        <w:t xml:space="preserve">April 2, 2026</w:t>
      </w:r>
    </w:p>
    <w:p>
      <w:pPr>
        <w:spacing w:after="100"/>
      </w:pPr>
    </w:p>
    <w:p>
      <w:pPr>
        <w:spacing w:after="100"/>
      </w:pPr>
    </w:p>
    <w:p>
      <w:pPr>
        <w:spacing w:after="200" w:line="276"/>
        <w:jc w:val="left"/>
      </w:pPr>
      <w:r>
        <w:rPr>
          <w:rFonts w:ascii="Times New Roman" w:cs="Times New Roman" w:eastAsia="Times New Roman" w:hAnsi="Times New Roman"/>
          <w:b/>
          <w:bCs/>
          <w:sz w:val="24"/>
          <w:szCs w:val="24"/>
        </w:rPr>
        <w:t xml:space="preserve">Enclosures:</w:t>
      </w:r>
    </w:p>
    <w:p>
      <w:pPr>
        <w:spacing w:after="200" w:line="276"/>
        <w:ind w:left="360"/>
        <w:jc w:val="left"/>
      </w:pPr>
      <w:r>
        <w:rPr>
          <w:rFonts w:ascii="Times New Roman" w:cs="Times New Roman" w:eastAsia="Times New Roman" w:hAnsi="Times New Roman"/>
          <w:sz w:val="24"/>
          <w:szCs w:val="24"/>
        </w:rPr>
        <w:t xml:space="preserve">1. Formal Drawings (12 sheets, FIGS. 1–12) [PDF]</w:t>
      </w:r>
    </w:p>
    <w:p>
      <w:pPr>
        <w:spacing w:after="200" w:line="276"/>
        <w:ind w:left="360"/>
        <w:jc w:val="left"/>
      </w:pPr>
      <w:r>
        <w:rPr>
          <w:rFonts w:ascii="Times New Roman" w:cs="Times New Roman" w:eastAsia="Times New Roman" w:hAnsi="Times New Roman"/>
          <w:sz w:val="24"/>
          <w:szCs w:val="24"/>
        </w:rPr>
        <w:t xml:space="preserve">2. Amended Specification [DOCX]</w:t>
      </w:r>
    </w:p>
    <w:p>
      <w:pPr>
        <w:spacing w:after="200" w:line="276"/>
        <w:ind w:left="360"/>
        <w:jc w:val="left"/>
      </w:pPr>
      <w:r>
        <w:rPr>
          <w:rFonts w:ascii="Times New Roman" w:cs="Times New Roman" w:eastAsia="Times New Roman" w:hAnsi="Times New Roman"/>
          <w:sz w:val="24"/>
          <w:szCs w:val="24"/>
        </w:rPr>
        <w:t xml:space="preserve">3. Clean Copy of Amended Specification [DOCX]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2026-04-02T13:12:55.522Z</dcterms:created>
  <dcterms:modified xsi:type="dcterms:W3CDTF">2026-04-02T13:12:55.522Z</dcterms:modified>
</cp:coreProperties>
</file>

<file path=docProps/custom.xml><?xml version="1.0" encoding="utf-8"?>
<Properties xmlns="http://schemas.openxmlformats.org/officeDocument/2006/custom-properties" xmlns:vt="http://schemas.openxmlformats.org/officeDocument/2006/docPropsVTypes"/>
</file>