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PROYECTO AVÍCOLA FREE-RANGE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1F4E5F"/>
          <w:sz w:val="36"/>
          <w:szCs w:val="36"/>
        </w:rPr>
        <w:t xml:space="preserve">Rubiales — Puerto Gaitán, Meta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45911"/>
          <w:sz w:val="36"/>
          <w:szCs w:val="36"/>
        </w:rPr>
        <w:t xml:space="preserve">ANEXO 2 — PLANOS TÉCNICOS VISUALES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Galpón, sistemas y manejo agronómico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B0B0B0"/>
        </w:rPr>
        <w:t xml:space="preserve">─────────────────────────────────────────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F4E5F"/>
          <w:sz w:val="22"/>
          <w:szCs w:val="22"/>
        </w:rPr>
        <w:t xml:space="preserve">ESTE ANEXO COMPLEMENTA EL DOCUMENTO TÉCNICO PRINCIPAL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Contiene 7 planos visuales para mostrar a contratistas y para revisión rápida.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0"/>
          <w:szCs w:val="20"/>
        </w:rPr>
        <w:t xml:space="preserve">Las cotas exactas y especificaciones detalladas están en el documento técnico.</w:t>
      </w:r>
    </w:p>
    <w:p>
      <w:pPr>
        <w:spacing w:after="200" w:before="100"/>
        <w:jc w:val="center"/>
      </w:pPr>
      <w:r>
        <w:rPr>
          <w:rFonts w:ascii="Arial" w:cs="Arial" w:eastAsia="Arial" w:hAnsi="Arial"/>
          <w:color w:val="B0B0B0"/>
        </w:rPr>
        <w:t xml:space="preserve">─────────────────────────────────────────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PLANOS INCLUIDOS EN ESTE ANEXO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Plano 3 ·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Galpón — Vista interna desde arriba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Plano 4 ·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Galpón — Corte transversal con medidas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Plano 5 ·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Comparación visual de los 3 escenarios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Plano 6 ·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Sistema de agua — pozo, tanque y bebederos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Plano 7 ·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Sistema eléctrico híbrido — solar + planta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Plano 8 ·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Plátano Dominico Hartón — marco y manejo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45911"/>
          <w:sz w:val="22"/>
          <w:szCs w:val="22"/>
        </w:rPr>
        <w:t xml:space="preserve">Plano 9 ·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Compostera y ciclo cerrado del proyecto</w:t>
      </w:r>
    </w:p>
    <w:p>
      <w:pPr>
        <w:spacing w:after="100" w:before="60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Familia Caro · Documento interno · Confidencial</w:t>
      </w:r>
    </w:p>
    <w:p>
      <w:pPr>
        <w:pageBreakBefore/>
        <w:spacing w:after="120" w:before="0"/>
        <w:jc w:val="center"/>
      </w:pPr>
      <w:r>
        <w:drawing>
          <wp:inline distT="0" distB="0" distL="0" distR="0">
            <wp:extent cx="6858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color w:val="1F4E5F"/>
          <w:sz w:val="20"/>
          <w:szCs w:val="20"/>
        </w:rPr>
        <w:t xml:space="preserve">PLANO 3 — Galpón visto desde arriba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Muestra cómo se distribuye el galpón internamente: zona de nidos al norte, comederos y bebederos en el centro en 4 líneas paralelas, pop-holes al sur para que las gallinas salgan al pastoreo, y perchas + baño de arena en las esquinas.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Llevar este plano al maestro de obra para que entienda el flujo interno y la ubicación de cada elemento. Llevar al proveedor de equipos (bebederos y comederos) para definir cantidades exactas y plan de instalación.</w:t>
      </w:r>
    </w:p>
    <w:p>
      <w:pPr>
        <w:pageBreakBefore/>
        <w:spacing w:after="120" w:before="0"/>
        <w:jc w:val="center"/>
      </w:pPr>
      <w:r>
        <w:drawing>
          <wp:inline distT="0" distB="0" distL="0" distR="0">
            <wp:extent cx="6858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color w:val="1F4E5F"/>
          <w:sz w:val="20"/>
          <w:szCs w:val="20"/>
        </w:rPr>
        <w:t xml:space="preserve">PLANO 4 — Galpón visto de frente — corte transversal con medidas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Muestra cómo se ve el galpón si lo cortáramos por la mitad, vista lateral. Las medidas críticas están señaladas: 12 m de ancho, 3.20 m al alero, 4.80 m al caballete, aleros de 1.0 m a cada lado, murete de bloque de 0.90 m.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El caballete ventilado en la cima permite que el aire caliente salga; el aire fresco entra por debajo del alero. Sistema natural — no requiere ventiladores eléctricos para 2.000 gallinas.</w:t>
      </w:r>
    </w:p>
    <w:p>
      <w:pPr>
        <w:pageBreakBefore/>
        <w:spacing w:after="120" w:before="0"/>
        <w:jc w:val="center"/>
      </w:pPr>
      <w:r>
        <w:drawing>
          <wp:inline distT="0" distB="0" distL="0" distR="0">
            <wp:extent cx="6858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color w:val="1F4E5F"/>
          <w:sz w:val="20"/>
          <w:szCs w:val="20"/>
        </w:rPr>
        <w:t xml:space="preserve">PLANO 5 — Los 3 escenarios del galpón comparados lado a lado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Tres versiones del mismo galpón con distintas inversiones, vidas útiles y mercados de salida. La instrucción al maestro de obra es cotizar los TRES escenarios, no escoger uno: la decisión se toma con cifras reales.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Recomendación estratégica: arrancar con el Escenario B (bienestar animal), expandir al C (exportación) en el galpón 2 cuando ya haya flujo de caja del primero.</w:t>
      </w:r>
    </w:p>
    <w:p>
      <w:pPr>
        <w:pageBreakBefore/>
        <w:spacing w:after="120" w:before="0"/>
        <w:jc w:val="center"/>
      </w:pPr>
      <w:r>
        <w:drawing>
          <wp:inline distT="0" distB="0" distL="0" distR="0">
            <wp:extent cx="6858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color w:val="1F4E5F"/>
          <w:sz w:val="20"/>
          <w:szCs w:val="20"/>
        </w:rPr>
        <w:t xml:space="preserve">PLANO 6 — Sistema de agua — del pozo al chupo de cada gallina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El agua sube una sola vez al tanque elevado (con la bomba). Después baja sola por gravedad a los 220 chupos nipple distribuidos en 4 líneas dentro del galpón. La gravedad es gratis, no falla, no consume electricidad.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Antes de cotizar este sistema, papá tiene que auditar el pozo existente y el nacedero alternativo según el checklist del documento técnico (sección 5).</w:t>
      </w:r>
    </w:p>
    <w:p>
      <w:pPr>
        <w:pageBreakBefore/>
        <w:spacing w:after="120" w:before="0"/>
        <w:jc w:val="center"/>
      </w:pPr>
      <w:r>
        <w:drawing>
          <wp:inline distT="0" distB="0" distL="0" distR="0">
            <wp:extent cx="6858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color w:val="1F4E5F"/>
          <w:sz w:val="20"/>
          <w:szCs w:val="20"/>
        </w:rPr>
        <w:t xml:space="preserve">PLANO 7 — Sistema eléctrico híbrido — sol como fuente principal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El galpón consume solo 3.4 kWh por día. Es muy poco. Por eso la solución correcta es solar (90 % del año) con la planta diésel solo de respaldo cuando llueve días seguidos.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El dato clave: la Gobernación del Meta y el IPSE pueden cofinanciar 50-80 % del sistema solar por estar Puerto Gaitán clasificada como Zona No Interconectada (ZNI). Iniciar este trámite al mismo tiempo que Finagro.</w:t>
      </w:r>
    </w:p>
    <w:p>
      <w:pPr>
        <w:pageBreakBefore/>
        <w:spacing w:after="120" w:before="0"/>
        <w:jc w:val="center"/>
      </w:pPr>
      <w:r>
        <w:drawing>
          <wp:inline distT="0" distB="0" distL="0" distR="0">
            <wp:extent cx="6858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color w:val="1F4E5F"/>
          <w:sz w:val="20"/>
          <w:szCs w:val="20"/>
        </w:rPr>
        <w:t xml:space="preserve">PLANO 8 — Plátano Dominico Hartón — marco de siembra y calendario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Variedad Dominico Hartón. Marco de siembra: 3 metros entre plantas y 3 metros entre surcos = 1.111 plantas por hectárea. En total 8.900 plantas en las 8 hectáreas.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Calendario claro: siembra en mes 0, primer abono en mes 2-3, deshije en mes 4-5, las gallinas entran al pastoreo en el mes 6 cuando ya hay sombra suficiente, primera cosecha en el mes 11-12.</w:t>
      </w:r>
    </w:p>
    <w:p>
      <w:pPr>
        <w:pageBreakBefore/>
        <w:spacing w:after="120" w:before="0"/>
        <w:jc w:val="center"/>
      </w:pPr>
      <w:r>
        <w:drawing>
          <wp:inline distT="0" distB="0" distL="0" distR="0">
            <wp:extent cx="6858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color w:val="1F4E5F"/>
          <w:sz w:val="20"/>
          <w:szCs w:val="20"/>
        </w:rPr>
        <w:t xml:space="preserve">PLANO 9 — Compostera y ciclo cerrado del proyecto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La gallinaza fresca quema las raíces del plátano. Se composta primero en pilas durante 30 a 45 días, con volteo manual, hasta quedar oscura, sin olor a amoniaco y lista como abono.</w:t>
      </w:r>
    </w:p>
    <w:p>
      <w:pPr>
        <w:spacing w:after="30" w:before="30"/>
        <w:jc w:val="left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El dato mágico del proyecto: las 2.000 gallinas producen 43 toneladas/año de gallinaza compostada y el plátano necesita 44 toneladas/año. La oferta y la demanda están casi exactamente balanceadas. Ciclo cerrado.</w:t>
      </w:r>
    </w:p>
    <w:p>
      <w:pPr>
        <w:pageBreakBefore/>
        <w:spacing w:after="200" w:before="1800"/>
        <w:jc w:val="center"/>
      </w:pPr>
      <w:r>
        <w:rPr>
          <w:rFonts w:ascii="Arial" w:cs="Arial" w:eastAsia="Arial" w:hAnsi="Arial"/>
          <w:b/>
          <w:bCs/>
          <w:color w:val="1F4E5F"/>
          <w:sz w:val="28"/>
          <w:szCs w:val="28"/>
        </w:rPr>
        <w:t xml:space="preserve">FIN DEL ANEXO 2 — PLANOS VISUALES</w:t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Para especificaciones detalladas, cotas exactas y checklists de cotización</w:t>
      </w:r>
    </w:p>
    <w:p>
      <w:pPr>
        <w:spacing w:after="100" w:before="60"/>
        <w:jc w:val="center"/>
      </w:pPr>
      <w:r>
        <w:rPr>
          <w:rFonts w:ascii="Arial" w:cs="Arial" w:eastAsia="Arial" w:hAnsi="Arial"/>
          <w:b/>
          <w:bCs/>
          <w:i/>
          <w:iCs/>
          <w:color w:val="1F4E5F"/>
          <w:sz w:val="22"/>
          <w:szCs w:val="22"/>
        </w:rPr>
        <w:t xml:space="preserve">consultar el documento principal: SetupTecnico_Rubiales.docx</w:t>
      </w:r>
    </w:p>
    <w:p>
      <w:pPr>
        <w:spacing w:after="100" w:before="80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Familia Caro · Proyecto Avícola Free-Range Rubiales · Documento interno confidencial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de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Proyecto Avícola Rubiales · Anexo 2 — Planos Visuales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341cf0c1a98789ec2a858cd31146c451a7fc5ad.png"/><Relationship Id="rId10" Type="http://schemas.openxmlformats.org/officeDocument/2006/relationships/image" Target="media/5386fac17f22d7fd182ac344a4343eba8408fb76.png"/><Relationship Id="rId11" Type="http://schemas.openxmlformats.org/officeDocument/2006/relationships/image" Target="media/94014a39f910b30dbfd4aa149f2f301781467d18.png"/><Relationship Id="rId12" Type="http://schemas.openxmlformats.org/officeDocument/2006/relationships/image" Target="media/0a443f72142fe195af64a620bcbed93f91f0d949.png"/><Relationship Id="rId13" Type="http://schemas.openxmlformats.org/officeDocument/2006/relationships/image" Target="media/4842c30780acad2f112cc4304a35ed6fee280310.png"/><Relationship Id="rId14" Type="http://schemas.openxmlformats.org/officeDocument/2006/relationships/image" Target="media/d32166709216dd6695a00b905a50c1a73f97b767.png"/><Relationship Id="rId15" Type="http://schemas.openxmlformats.org/officeDocument/2006/relationships/image" Target="media/732e2b0008d8cbe1adc5d6077aff9dadb3b69de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2 — Planos Técnicos Visuales</dc:title>
  <dc:creator>Proyecto Rubiales</dc:creator>
  <dc:description>Anexo de planos visuales — Proyecto Avícola Rubiales</dc:description>
  <cp:lastModifiedBy>Un-named</cp:lastModifiedBy>
  <cp:revision>1</cp:revision>
  <dcterms:created xsi:type="dcterms:W3CDTF">2026-05-03T16:39:21.596Z</dcterms:created>
  <dcterms:modified xsi:type="dcterms:W3CDTF">2026-05-03T16:39:21.597Z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