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C3B" w:rsidRPr="005231F3" w:rsidRDefault="005231F3" w:rsidP="005231F3">
      <w:pPr>
        <w:jc w:val="center"/>
        <w:rPr>
          <w:b/>
          <w:sz w:val="40"/>
          <w:szCs w:val="40"/>
          <w:u w:val="single"/>
        </w:rPr>
      </w:pPr>
      <w:r w:rsidRPr="005231F3">
        <w:rPr>
          <w:b/>
          <w:sz w:val="40"/>
          <w:szCs w:val="40"/>
          <w:u w:val="single"/>
        </w:rPr>
        <w:t>ALTA DISPONIBILIDAD DE BASE DE DATOS</w:t>
      </w:r>
    </w:p>
    <w:p w:rsidR="005231F3" w:rsidRPr="00A675C6" w:rsidRDefault="005231F3">
      <w:pPr>
        <w:rPr>
          <w:rFonts w:ascii="Arial" w:hAnsi="Arial" w:cs="Arial"/>
          <w:b/>
          <w:color w:val="111111"/>
          <w:sz w:val="26"/>
          <w:szCs w:val="26"/>
          <w:u w:val="single"/>
          <w:shd w:val="clear" w:color="auto" w:fill="F1F1F1"/>
        </w:rPr>
      </w:pPr>
      <w:r w:rsidRPr="00A675C6">
        <w:rPr>
          <w:rFonts w:ascii="Arial" w:hAnsi="Arial" w:cs="Arial"/>
          <w:b/>
          <w:color w:val="111111"/>
          <w:sz w:val="26"/>
          <w:szCs w:val="26"/>
          <w:u w:val="single"/>
          <w:shd w:val="clear" w:color="auto" w:fill="F1F1F1"/>
        </w:rPr>
        <w:t>¿Qué es la disponibilidad?</w:t>
      </w:r>
    </w:p>
    <w:p w:rsidR="005231F3" w:rsidRPr="00A675C6" w:rsidRDefault="005231F3" w:rsidP="00A675C6">
      <w:pPr>
        <w:spacing w:after="0"/>
        <w:jc w:val="both"/>
        <w:rPr>
          <w:rFonts w:ascii="Arial" w:hAnsi="Arial" w:cs="Arial"/>
          <w:color w:val="111111"/>
          <w:sz w:val="26"/>
          <w:szCs w:val="26"/>
          <w:shd w:val="clear" w:color="auto" w:fill="F1F1F1"/>
        </w:rPr>
      </w:pPr>
      <w:r w:rsidRPr="00A675C6">
        <w:rPr>
          <w:rFonts w:ascii="Arial" w:hAnsi="Arial" w:cs="Arial"/>
          <w:color w:val="111111"/>
          <w:sz w:val="26"/>
          <w:szCs w:val="26"/>
          <w:shd w:val="clear" w:color="auto" w:fill="F1F1F1"/>
        </w:rPr>
        <w:t>La disponibilidad es una de las características de las arquitecturas empresariales que mide el grado con el que los recursos del sistema están disponibles para su uso por el usuario final a lo largo de un tiempo dado. Ésta no sólo se relaciona con la prevención de caídas del sistema (también llamadas tiempos </w:t>
      </w:r>
      <w:r w:rsidRPr="00A675C6">
        <w:rPr>
          <w:rFonts w:ascii="Arial" w:hAnsi="Arial" w:cs="Arial"/>
          <w:i/>
          <w:iCs/>
          <w:color w:val="111111"/>
          <w:sz w:val="26"/>
          <w:szCs w:val="26"/>
          <w:shd w:val="clear" w:color="auto" w:fill="F1F1F1"/>
        </w:rPr>
        <w:t>fuera de línea</w:t>
      </w:r>
      <w:r w:rsidRPr="00A675C6">
        <w:rPr>
          <w:rFonts w:ascii="Arial" w:hAnsi="Arial" w:cs="Arial"/>
          <w:color w:val="111111"/>
          <w:sz w:val="26"/>
          <w:szCs w:val="26"/>
          <w:shd w:val="clear" w:color="auto" w:fill="F1F1F1"/>
        </w:rPr>
        <w:t>, </w:t>
      </w:r>
      <w:proofErr w:type="spellStart"/>
      <w:r w:rsidRPr="00A675C6">
        <w:rPr>
          <w:rFonts w:ascii="Arial" w:hAnsi="Arial" w:cs="Arial"/>
          <w:i/>
          <w:iCs/>
          <w:color w:val="111111"/>
          <w:sz w:val="26"/>
          <w:szCs w:val="26"/>
          <w:shd w:val="clear" w:color="auto" w:fill="F1F1F1"/>
        </w:rPr>
        <w:t>downtime</w:t>
      </w:r>
      <w:proofErr w:type="spellEnd"/>
      <w:r w:rsidRPr="00A675C6">
        <w:rPr>
          <w:rFonts w:ascii="Arial" w:hAnsi="Arial" w:cs="Arial"/>
          <w:color w:val="111111"/>
          <w:sz w:val="26"/>
          <w:szCs w:val="26"/>
          <w:shd w:val="clear" w:color="auto" w:fill="F1F1F1"/>
        </w:rPr>
        <w:t> </w:t>
      </w:r>
      <w:proofErr w:type="spellStart"/>
      <w:r w:rsidRPr="00A675C6">
        <w:rPr>
          <w:rFonts w:ascii="Arial" w:hAnsi="Arial" w:cs="Arial"/>
          <w:color w:val="111111"/>
          <w:sz w:val="26"/>
          <w:szCs w:val="26"/>
          <w:shd w:val="clear" w:color="auto" w:fill="F1F1F1"/>
        </w:rPr>
        <w:t>q</w:t>
      </w:r>
      <w:r w:rsidRPr="00A675C6">
        <w:rPr>
          <w:rFonts w:ascii="Arial" w:hAnsi="Arial" w:cs="Arial"/>
          <w:color w:val="111111"/>
          <w:sz w:val="26"/>
          <w:szCs w:val="26"/>
          <w:shd w:val="clear" w:color="auto" w:fill="F1F1F1"/>
        </w:rPr>
        <w:t>u</w:t>
      </w:r>
      <w:proofErr w:type="spellEnd"/>
      <w:r w:rsidRPr="00A675C6">
        <w:rPr>
          <w:rFonts w:ascii="Arial" w:hAnsi="Arial" w:cs="Arial"/>
          <w:color w:val="111111"/>
          <w:sz w:val="26"/>
          <w:szCs w:val="26"/>
          <w:shd w:val="clear" w:color="auto" w:fill="F1F1F1"/>
        </w:rPr>
        <w:t> </w:t>
      </w:r>
      <w:r w:rsidRPr="00A675C6">
        <w:rPr>
          <w:rFonts w:ascii="Arial" w:hAnsi="Arial" w:cs="Arial"/>
          <w:i/>
          <w:iCs/>
          <w:color w:val="111111"/>
          <w:sz w:val="26"/>
          <w:szCs w:val="26"/>
          <w:shd w:val="clear" w:color="auto" w:fill="F1F1F1"/>
        </w:rPr>
        <w:t>offline</w:t>
      </w:r>
      <w:r w:rsidRPr="00A675C6">
        <w:rPr>
          <w:rFonts w:ascii="Arial" w:hAnsi="Arial" w:cs="Arial"/>
          <w:color w:val="111111"/>
          <w:sz w:val="26"/>
          <w:szCs w:val="26"/>
          <w:shd w:val="clear" w:color="auto" w:fill="F1F1F1"/>
        </w:rPr>
        <w:t>), sino incluso con la percepción de “caída” desde el punto de vista del usuario: cualquier circunstancia que nos impida trabajar productivamente con el sistema – desde tiempos de respuesta prolongados, escasa asistencia técnica o falta de estaciones de trabajo disponibles – es considerada como un factor de baja disponibilidad.</w:t>
      </w:r>
    </w:p>
    <w:p w:rsidR="005231F3" w:rsidRPr="005231F3" w:rsidRDefault="005231F3" w:rsidP="005231F3">
      <w:pPr>
        <w:shd w:val="clear" w:color="auto" w:fill="F1F1F1"/>
        <w:spacing w:after="360" w:line="434" w:lineRule="atLeast"/>
        <w:jc w:val="both"/>
        <w:rPr>
          <w:rFonts w:ascii="Arial" w:eastAsia="Times New Roman" w:hAnsi="Arial" w:cs="Arial"/>
          <w:b/>
          <w:color w:val="111111"/>
          <w:sz w:val="26"/>
          <w:szCs w:val="26"/>
          <w:u w:val="single"/>
          <w:lang w:eastAsia="es-PE"/>
        </w:rPr>
      </w:pPr>
      <w:r w:rsidRPr="005231F3">
        <w:rPr>
          <w:rFonts w:ascii="Arial" w:eastAsia="Times New Roman" w:hAnsi="Arial" w:cs="Arial"/>
          <w:b/>
          <w:bCs/>
          <w:color w:val="111111"/>
          <w:sz w:val="26"/>
          <w:szCs w:val="26"/>
          <w:u w:val="single"/>
          <w:lang w:eastAsia="es-PE"/>
        </w:rPr>
        <w:t>¿Cómo medimos la disponibilidad?</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De primera instancia, todo sistema debe tener establecido un Acuerdo de Nivel de Servicio (</w:t>
      </w:r>
      <w:proofErr w:type="spellStart"/>
      <w:r w:rsidRPr="005231F3">
        <w:rPr>
          <w:rFonts w:ascii="Arial" w:hAnsi="Arial" w:cs="Arial"/>
          <w:color w:val="111111"/>
          <w:sz w:val="26"/>
          <w:szCs w:val="26"/>
          <w:shd w:val="clear" w:color="auto" w:fill="F1F1F1"/>
        </w:rPr>
        <w:t>Service</w:t>
      </w:r>
      <w:proofErr w:type="spellEnd"/>
      <w:r w:rsidRPr="005231F3">
        <w:rPr>
          <w:rFonts w:ascii="Arial" w:hAnsi="Arial" w:cs="Arial"/>
          <w:color w:val="111111"/>
          <w:sz w:val="26"/>
          <w:szCs w:val="26"/>
          <w:shd w:val="clear" w:color="auto" w:fill="F1F1F1"/>
        </w:rPr>
        <w:t xml:space="preserve"> </w:t>
      </w:r>
      <w:proofErr w:type="spellStart"/>
      <w:r w:rsidRPr="005231F3">
        <w:rPr>
          <w:rFonts w:ascii="Arial" w:hAnsi="Arial" w:cs="Arial"/>
          <w:color w:val="111111"/>
          <w:sz w:val="26"/>
          <w:szCs w:val="26"/>
          <w:shd w:val="clear" w:color="auto" w:fill="F1F1F1"/>
        </w:rPr>
        <w:t>Level</w:t>
      </w:r>
      <w:proofErr w:type="spellEnd"/>
      <w:r w:rsidRPr="005231F3">
        <w:rPr>
          <w:rFonts w:ascii="Arial" w:hAnsi="Arial" w:cs="Arial"/>
          <w:color w:val="111111"/>
          <w:sz w:val="26"/>
          <w:szCs w:val="26"/>
          <w:shd w:val="clear" w:color="auto" w:fill="F1F1F1"/>
        </w:rPr>
        <w:t xml:space="preserve"> </w:t>
      </w:r>
      <w:proofErr w:type="spellStart"/>
      <w:r w:rsidRPr="005231F3">
        <w:rPr>
          <w:rFonts w:ascii="Arial" w:hAnsi="Arial" w:cs="Arial"/>
          <w:color w:val="111111"/>
          <w:sz w:val="26"/>
          <w:szCs w:val="26"/>
          <w:shd w:val="clear" w:color="auto" w:fill="F1F1F1"/>
        </w:rPr>
        <w:t>Agreement</w:t>
      </w:r>
      <w:proofErr w:type="spellEnd"/>
      <w:r w:rsidRPr="005231F3">
        <w:rPr>
          <w:rFonts w:ascii="Arial" w:hAnsi="Arial" w:cs="Arial"/>
          <w:color w:val="111111"/>
          <w:sz w:val="26"/>
          <w:szCs w:val="26"/>
          <w:shd w:val="clear" w:color="auto" w:fill="F1F1F1"/>
        </w:rPr>
        <w:t xml:space="preserve"> – SLA) que defina cuánto tiempo y en qué horarios debe estar en línea. En el caso de aplicaciones de baja criticidad, dicho SLA puede ser de 8×5 horas a la semana excluyendo días festivos; para sistemas con mayor criticidad como una red de cajeros automáticos se tienen niveles de servicio que alcanzan las 24 horas al día, los 365 días del año. Así entonces, suponiendo un sistema con un SLA de 24×365 podríamos calcular su disponibilidad de la siguiente manera:</w:t>
      </w:r>
    </w:p>
    <w:p w:rsidR="005231F3" w:rsidRPr="005231F3" w:rsidRDefault="005231F3" w:rsidP="00A675C6">
      <w:pPr>
        <w:shd w:val="clear" w:color="auto" w:fill="F1F1F1"/>
        <w:spacing w:after="0" w:line="434" w:lineRule="atLeast"/>
        <w:jc w:val="center"/>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Disponibilidad = ((A – B)/A) x 100 por ciento)</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Donde:</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A = Horas comprometidas de disponibilidad: 24 x 365 = 8,760 Horas/año.</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B = Número de horas fuera de línea (Horas de “caída del sistema” durante el tiempo de disponibilidad comprometido). Por ejemplo: 15 horas por falla en un disco; 9 horas por mantenimiento preventivo no planeado.</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A675C6">
        <w:rPr>
          <w:rFonts w:ascii="Arial" w:hAnsi="Arial" w:cs="Arial"/>
          <w:color w:val="111111"/>
          <w:sz w:val="26"/>
          <w:szCs w:val="26"/>
          <w:shd w:val="clear" w:color="auto" w:fill="F1F1F1"/>
        </w:rPr>
        <w:t>A</w:t>
      </w:r>
      <w:r w:rsidRPr="005231F3">
        <w:rPr>
          <w:rFonts w:ascii="Arial" w:hAnsi="Arial" w:cs="Arial"/>
          <w:color w:val="111111"/>
          <w:sz w:val="26"/>
          <w:szCs w:val="26"/>
          <w:shd w:val="clear" w:color="auto" w:fill="F1F1F1"/>
        </w:rPr>
        <w:t>sí entonces:</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Disponibilidad = ((8,760 – 24)/8,760) x 100 por ciento) = 99.726%</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 xml:space="preserve">Cuando se realicen negociaciones para definir objetivos de disponibilidad con los usuarios, es necesario hacerlos </w:t>
      </w:r>
      <w:proofErr w:type="spellStart"/>
      <w:r w:rsidRPr="005231F3">
        <w:rPr>
          <w:rFonts w:ascii="Arial" w:hAnsi="Arial" w:cs="Arial"/>
          <w:color w:val="111111"/>
          <w:sz w:val="26"/>
          <w:szCs w:val="26"/>
          <w:shd w:val="clear" w:color="auto" w:fill="F1F1F1"/>
        </w:rPr>
        <w:t>concientes</w:t>
      </w:r>
      <w:proofErr w:type="spellEnd"/>
      <w:r w:rsidRPr="005231F3">
        <w:rPr>
          <w:rFonts w:ascii="Arial" w:hAnsi="Arial" w:cs="Arial"/>
          <w:color w:val="111111"/>
          <w:sz w:val="26"/>
          <w:szCs w:val="26"/>
          <w:shd w:val="clear" w:color="auto" w:fill="F1F1F1"/>
        </w:rPr>
        <w:t xml:space="preserve"> de las implicaciones técnicas y económicas, como se muestra en la siguiente tabla:</w:t>
      </w:r>
    </w:p>
    <w:tbl>
      <w:tblPr>
        <w:tblW w:w="6525" w:type="dxa"/>
        <w:tblBorders>
          <w:top w:val="single" w:sz="6" w:space="0" w:color="B7BC7C"/>
          <w:left w:val="single" w:sz="6" w:space="0" w:color="B7BC7C"/>
          <w:bottom w:val="single" w:sz="6" w:space="0" w:color="B7BC7C"/>
          <w:right w:val="single" w:sz="6" w:space="0" w:color="B7BC7C"/>
        </w:tblBorders>
        <w:tblCellMar>
          <w:top w:w="15" w:type="dxa"/>
          <w:left w:w="15" w:type="dxa"/>
          <w:bottom w:w="15" w:type="dxa"/>
          <w:right w:w="15" w:type="dxa"/>
        </w:tblCellMar>
        <w:tblLook w:val="04A0" w:firstRow="1" w:lastRow="0" w:firstColumn="1" w:lastColumn="0" w:noHBand="0" w:noVBand="1"/>
      </w:tblPr>
      <w:tblGrid>
        <w:gridCol w:w="1919"/>
        <w:gridCol w:w="1540"/>
        <w:gridCol w:w="1598"/>
        <w:gridCol w:w="1468"/>
      </w:tblGrid>
      <w:tr w:rsidR="005231F3" w:rsidRPr="005231F3" w:rsidTr="005231F3">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center"/>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lastRenderedPageBreak/>
              <w:t>Disponibilidad (%)</w:t>
            </w:r>
          </w:p>
        </w:tc>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center"/>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Tiempo offline/año</w:t>
            </w:r>
          </w:p>
        </w:tc>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center"/>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Tiempo offline/mes</w:t>
            </w:r>
          </w:p>
        </w:tc>
        <w:tc>
          <w:tcPr>
            <w:tcW w:w="0" w:type="auto"/>
            <w:tcBorders>
              <w:top w:val="nil"/>
              <w:left w:val="nil"/>
              <w:bottom w:val="single" w:sz="6" w:space="0" w:color="B7BC7C"/>
              <w:right w:val="nil"/>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center"/>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Tiempo offline/día</w:t>
            </w:r>
          </w:p>
        </w:tc>
      </w:tr>
      <w:tr w:rsidR="005231F3" w:rsidRPr="005231F3" w:rsidTr="005231F3">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90%</w:t>
            </w:r>
          </w:p>
        </w:tc>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36.5 días</w:t>
            </w:r>
          </w:p>
        </w:tc>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 xml:space="preserve">73 </w:t>
            </w:r>
            <w:proofErr w:type="spellStart"/>
            <w:r w:rsidRPr="005231F3">
              <w:rPr>
                <w:rFonts w:ascii="Arial" w:hAnsi="Arial" w:cs="Arial"/>
                <w:color w:val="111111"/>
                <w:sz w:val="26"/>
                <w:szCs w:val="26"/>
                <w:shd w:val="clear" w:color="auto" w:fill="F1F1F1"/>
              </w:rPr>
              <w:t>hrs</w:t>
            </w:r>
            <w:proofErr w:type="spellEnd"/>
          </w:p>
        </w:tc>
        <w:tc>
          <w:tcPr>
            <w:tcW w:w="0" w:type="auto"/>
            <w:tcBorders>
              <w:top w:val="nil"/>
              <w:left w:val="nil"/>
              <w:bottom w:val="single" w:sz="6" w:space="0" w:color="B7BC7C"/>
              <w:right w:val="nil"/>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 xml:space="preserve">2.4 </w:t>
            </w:r>
            <w:proofErr w:type="spellStart"/>
            <w:r w:rsidRPr="005231F3">
              <w:rPr>
                <w:rFonts w:ascii="Arial" w:hAnsi="Arial" w:cs="Arial"/>
                <w:color w:val="111111"/>
                <w:sz w:val="26"/>
                <w:szCs w:val="26"/>
                <w:shd w:val="clear" w:color="auto" w:fill="F1F1F1"/>
              </w:rPr>
              <w:t>hrs</w:t>
            </w:r>
            <w:proofErr w:type="spellEnd"/>
          </w:p>
        </w:tc>
      </w:tr>
      <w:tr w:rsidR="005231F3" w:rsidRPr="005231F3" w:rsidTr="005231F3">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95%</w:t>
            </w:r>
          </w:p>
        </w:tc>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18.3 días</w:t>
            </w:r>
          </w:p>
        </w:tc>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 xml:space="preserve">36.5 </w:t>
            </w:r>
            <w:proofErr w:type="spellStart"/>
            <w:r w:rsidRPr="005231F3">
              <w:rPr>
                <w:rFonts w:ascii="Arial" w:hAnsi="Arial" w:cs="Arial"/>
                <w:color w:val="111111"/>
                <w:sz w:val="26"/>
                <w:szCs w:val="26"/>
                <w:shd w:val="clear" w:color="auto" w:fill="F1F1F1"/>
              </w:rPr>
              <w:t>hrs</w:t>
            </w:r>
            <w:proofErr w:type="spellEnd"/>
          </w:p>
        </w:tc>
        <w:tc>
          <w:tcPr>
            <w:tcW w:w="0" w:type="auto"/>
            <w:tcBorders>
              <w:top w:val="nil"/>
              <w:left w:val="nil"/>
              <w:bottom w:val="single" w:sz="6" w:space="0" w:color="B7BC7C"/>
              <w:right w:val="nil"/>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 xml:space="preserve">1.2 </w:t>
            </w:r>
            <w:proofErr w:type="spellStart"/>
            <w:r w:rsidRPr="005231F3">
              <w:rPr>
                <w:rFonts w:ascii="Arial" w:hAnsi="Arial" w:cs="Arial"/>
                <w:color w:val="111111"/>
                <w:sz w:val="26"/>
                <w:szCs w:val="26"/>
                <w:shd w:val="clear" w:color="auto" w:fill="F1F1F1"/>
              </w:rPr>
              <w:t>hrs</w:t>
            </w:r>
            <w:proofErr w:type="spellEnd"/>
          </w:p>
        </w:tc>
      </w:tr>
      <w:tr w:rsidR="005231F3" w:rsidRPr="005231F3" w:rsidTr="005231F3">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98%</w:t>
            </w:r>
          </w:p>
        </w:tc>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7.3 días</w:t>
            </w:r>
          </w:p>
        </w:tc>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 xml:space="preserve">14.6 </w:t>
            </w:r>
            <w:proofErr w:type="spellStart"/>
            <w:r w:rsidRPr="005231F3">
              <w:rPr>
                <w:rFonts w:ascii="Arial" w:hAnsi="Arial" w:cs="Arial"/>
                <w:color w:val="111111"/>
                <w:sz w:val="26"/>
                <w:szCs w:val="26"/>
                <w:shd w:val="clear" w:color="auto" w:fill="F1F1F1"/>
              </w:rPr>
              <w:t>hrs</w:t>
            </w:r>
            <w:proofErr w:type="spellEnd"/>
          </w:p>
        </w:tc>
        <w:tc>
          <w:tcPr>
            <w:tcW w:w="0" w:type="auto"/>
            <w:tcBorders>
              <w:top w:val="nil"/>
              <w:left w:val="nil"/>
              <w:bottom w:val="single" w:sz="6" w:space="0" w:color="B7BC7C"/>
              <w:right w:val="nil"/>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28.8 min</w:t>
            </w:r>
          </w:p>
        </w:tc>
      </w:tr>
      <w:tr w:rsidR="005231F3" w:rsidRPr="005231F3" w:rsidTr="005231F3">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99%</w:t>
            </w:r>
          </w:p>
        </w:tc>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3.7 días</w:t>
            </w:r>
          </w:p>
        </w:tc>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 xml:space="preserve">7.3 </w:t>
            </w:r>
            <w:proofErr w:type="spellStart"/>
            <w:r w:rsidRPr="005231F3">
              <w:rPr>
                <w:rFonts w:ascii="Arial" w:hAnsi="Arial" w:cs="Arial"/>
                <w:color w:val="111111"/>
                <w:sz w:val="26"/>
                <w:szCs w:val="26"/>
                <w:shd w:val="clear" w:color="auto" w:fill="F1F1F1"/>
              </w:rPr>
              <w:t>hrs</w:t>
            </w:r>
            <w:proofErr w:type="spellEnd"/>
          </w:p>
        </w:tc>
        <w:tc>
          <w:tcPr>
            <w:tcW w:w="0" w:type="auto"/>
            <w:tcBorders>
              <w:top w:val="nil"/>
              <w:left w:val="nil"/>
              <w:bottom w:val="single" w:sz="6" w:space="0" w:color="B7BC7C"/>
              <w:right w:val="nil"/>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14.4 min</w:t>
            </w:r>
          </w:p>
        </w:tc>
      </w:tr>
      <w:tr w:rsidR="005231F3" w:rsidRPr="005231F3" w:rsidTr="005231F3">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99.5%</w:t>
            </w:r>
          </w:p>
        </w:tc>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1.8 días</w:t>
            </w:r>
          </w:p>
        </w:tc>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 xml:space="preserve">3.66 </w:t>
            </w:r>
            <w:proofErr w:type="spellStart"/>
            <w:r w:rsidRPr="005231F3">
              <w:rPr>
                <w:rFonts w:ascii="Arial" w:hAnsi="Arial" w:cs="Arial"/>
                <w:color w:val="111111"/>
                <w:sz w:val="26"/>
                <w:szCs w:val="26"/>
                <w:shd w:val="clear" w:color="auto" w:fill="F1F1F1"/>
              </w:rPr>
              <w:t>hrs</w:t>
            </w:r>
            <w:proofErr w:type="spellEnd"/>
          </w:p>
        </w:tc>
        <w:tc>
          <w:tcPr>
            <w:tcW w:w="0" w:type="auto"/>
            <w:tcBorders>
              <w:top w:val="nil"/>
              <w:left w:val="nil"/>
              <w:bottom w:val="single" w:sz="6" w:space="0" w:color="B7BC7C"/>
              <w:right w:val="nil"/>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7.22 min</w:t>
            </w:r>
          </w:p>
        </w:tc>
      </w:tr>
      <w:tr w:rsidR="005231F3" w:rsidRPr="005231F3" w:rsidTr="005231F3">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99.9%</w:t>
            </w:r>
          </w:p>
        </w:tc>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 xml:space="preserve">8.8 </w:t>
            </w:r>
            <w:proofErr w:type="spellStart"/>
            <w:r w:rsidRPr="005231F3">
              <w:rPr>
                <w:rFonts w:ascii="Arial" w:hAnsi="Arial" w:cs="Arial"/>
                <w:color w:val="111111"/>
                <w:sz w:val="26"/>
                <w:szCs w:val="26"/>
                <w:shd w:val="clear" w:color="auto" w:fill="F1F1F1"/>
              </w:rPr>
              <w:t>hrs</w:t>
            </w:r>
            <w:proofErr w:type="spellEnd"/>
          </w:p>
        </w:tc>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43.8 min</w:t>
            </w:r>
          </w:p>
        </w:tc>
        <w:tc>
          <w:tcPr>
            <w:tcW w:w="0" w:type="auto"/>
            <w:tcBorders>
              <w:top w:val="nil"/>
              <w:left w:val="nil"/>
              <w:bottom w:val="single" w:sz="6" w:space="0" w:color="B7BC7C"/>
              <w:right w:val="nil"/>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1.46 min</w:t>
            </w:r>
          </w:p>
        </w:tc>
      </w:tr>
      <w:tr w:rsidR="005231F3" w:rsidRPr="005231F3" w:rsidTr="005231F3">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99.95%</w:t>
            </w:r>
          </w:p>
        </w:tc>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 xml:space="preserve">4.4 </w:t>
            </w:r>
            <w:proofErr w:type="spellStart"/>
            <w:r w:rsidRPr="005231F3">
              <w:rPr>
                <w:rFonts w:ascii="Arial" w:hAnsi="Arial" w:cs="Arial"/>
                <w:color w:val="111111"/>
                <w:sz w:val="26"/>
                <w:szCs w:val="26"/>
                <w:shd w:val="clear" w:color="auto" w:fill="F1F1F1"/>
              </w:rPr>
              <w:t>hrs</w:t>
            </w:r>
            <w:proofErr w:type="spellEnd"/>
          </w:p>
        </w:tc>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21.9 min</w:t>
            </w:r>
          </w:p>
        </w:tc>
        <w:tc>
          <w:tcPr>
            <w:tcW w:w="0" w:type="auto"/>
            <w:tcBorders>
              <w:top w:val="nil"/>
              <w:left w:val="nil"/>
              <w:bottom w:val="single" w:sz="6" w:space="0" w:color="B7BC7C"/>
              <w:right w:val="nil"/>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43.8 s</w:t>
            </w:r>
          </w:p>
        </w:tc>
      </w:tr>
      <w:tr w:rsidR="005231F3" w:rsidRPr="005231F3" w:rsidTr="005231F3">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99.99%</w:t>
            </w:r>
          </w:p>
        </w:tc>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52.6 min</w:t>
            </w:r>
          </w:p>
        </w:tc>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4.4 min</w:t>
            </w:r>
          </w:p>
        </w:tc>
        <w:tc>
          <w:tcPr>
            <w:tcW w:w="0" w:type="auto"/>
            <w:tcBorders>
              <w:top w:val="nil"/>
              <w:left w:val="nil"/>
              <w:bottom w:val="single" w:sz="6" w:space="0" w:color="B7BC7C"/>
              <w:right w:val="nil"/>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8.6 s</w:t>
            </w:r>
          </w:p>
        </w:tc>
      </w:tr>
      <w:tr w:rsidR="005231F3" w:rsidRPr="005231F3" w:rsidTr="005231F3">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99.999%</w:t>
            </w:r>
          </w:p>
        </w:tc>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5.26 min</w:t>
            </w:r>
          </w:p>
        </w:tc>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26.3 s</w:t>
            </w:r>
          </w:p>
        </w:tc>
        <w:tc>
          <w:tcPr>
            <w:tcW w:w="0" w:type="auto"/>
            <w:tcBorders>
              <w:top w:val="nil"/>
              <w:left w:val="nil"/>
              <w:bottom w:val="single" w:sz="6" w:space="0" w:color="B7BC7C"/>
              <w:right w:val="nil"/>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0.86 s</w:t>
            </w:r>
          </w:p>
        </w:tc>
      </w:tr>
      <w:tr w:rsidR="005231F3" w:rsidRPr="005231F3" w:rsidTr="005231F3">
        <w:tc>
          <w:tcPr>
            <w:tcW w:w="0" w:type="auto"/>
            <w:tcBorders>
              <w:top w:val="nil"/>
              <w:left w:val="nil"/>
              <w:bottom w:val="single" w:sz="6" w:space="0" w:color="DDDDDD"/>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99.9999%</w:t>
            </w:r>
          </w:p>
        </w:tc>
        <w:tc>
          <w:tcPr>
            <w:tcW w:w="0" w:type="auto"/>
            <w:tcBorders>
              <w:top w:val="nil"/>
              <w:left w:val="nil"/>
              <w:bottom w:val="single" w:sz="6" w:space="0" w:color="DDDDDD"/>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31.5 s</w:t>
            </w:r>
          </w:p>
        </w:tc>
        <w:tc>
          <w:tcPr>
            <w:tcW w:w="0" w:type="auto"/>
            <w:tcBorders>
              <w:top w:val="nil"/>
              <w:left w:val="nil"/>
              <w:bottom w:val="single" w:sz="6" w:space="0" w:color="DDDDDD"/>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2.62 s</w:t>
            </w:r>
          </w:p>
        </w:tc>
        <w:tc>
          <w:tcPr>
            <w:tcW w:w="0" w:type="auto"/>
            <w:tcBorders>
              <w:top w:val="nil"/>
              <w:left w:val="nil"/>
              <w:bottom w:val="single" w:sz="6" w:space="0" w:color="DDDDDD"/>
              <w:right w:val="nil"/>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0.08 s</w:t>
            </w:r>
          </w:p>
        </w:tc>
      </w:tr>
    </w:tbl>
    <w:p w:rsidR="005231F3" w:rsidRPr="005231F3" w:rsidRDefault="005231F3" w:rsidP="00A675C6">
      <w:pPr>
        <w:shd w:val="clear" w:color="auto" w:fill="F1F1F1"/>
        <w:spacing w:after="0" w:line="332" w:lineRule="atLeast"/>
        <w:jc w:val="center"/>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Disponibilidad para un sistema 24×7 y tiempos de caída permitidos.</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Estos números (especialmente aquellos que pasan de la marca del 99.5% de disponibilidad) son difíciles de alcanzar, ya que es necesario poder recuperarse ante caídas del sistema de manera transparente. La capacidad e intervalo de tiempo necesarios para recuperarse ante tal eventualidad son directamente dependientes de:</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w:t>
      </w:r>
      <w:r w:rsidRPr="005231F3">
        <w:rPr>
          <w:rFonts w:ascii="Arial" w:hAnsi="Arial" w:cs="Arial"/>
          <w:color w:val="111111"/>
          <w:sz w:val="26"/>
          <w:szCs w:val="26"/>
          <w:shd w:val="clear" w:color="auto" w:fill="F1F1F1"/>
        </w:rPr>
        <w:t> </w:t>
      </w:r>
      <w:r w:rsidRPr="005231F3">
        <w:rPr>
          <w:rFonts w:ascii="Arial" w:hAnsi="Arial" w:cs="Arial"/>
          <w:color w:val="111111"/>
          <w:sz w:val="26"/>
          <w:szCs w:val="26"/>
          <w:shd w:val="clear" w:color="auto" w:fill="F1F1F1"/>
        </w:rPr>
        <w:t>La complejidad del sistema.</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w:t>
      </w:r>
      <w:r w:rsidRPr="005231F3">
        <w:rPr>
          <w:rFonts w:ascii="Arial" w:hAnsi="Arial" w:cs="Arial"/>
          <w:color w:val="111111"/>
          <w:sz w:val="26"/>
          <w:szCs w:val="26"/>
          <w:shd w:val="clear" w:color="auto" w:fill="F1F1F1"/>
        </w:rPr>
        <w:t> </w:t>
      </w:r>
      <w:r w:rsidRPr="005231F3">
        <w:rPr>
          <w:rFonts w:ascii="Arial" w:hAnsi="Arial" w:cs="Arial"/>
          <w:color w:val="111111"/>
          <w:sz w:val="26"/>
          <w:szCs w:val="26"/>
          <w:shd w:val="clear" w:color="auto" w:fill="F1F1F1"/>
        </w:rPr>
        <w:t>La severidad del problema.</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w:t>
      </w:r>
      <w:r w:rsidRPr="005231F3">
        <w:rPr>
          <w:rFonts w:ascii="Arial" w:hAnsi="Arial" w:cs="Arial"/>
          <w:color w:val="111111"/>
          <w:sz w:val="26"/>
          <w:szCs w:val="26"/>
          <w:shd w:val="clear" w:color="auto" w:fill="F1F1F1"/>
        </w:rPr>
        <w:t> </w:t>
      </w:r>
      <w:r w:rsidRPr="005231F3">
        <w:rPr>
          <w:rFonts w:ascii="Arial" w:hAnsi="Arial" w:cs="Arial"/>
          <w:color w:val="111111"/>
          <w:sz w:val="26"/>
          <w:szCs w:val="26"/>
          <w:shd w:val="clear" w:color="auto" w:fill="F1F1F1"/>
        </w:rPr>
        <w:t>La disponibilidad del personal de soporte.</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w:t>
      </w:r>
      <w:r w:rsidRPr="005231F3">
        <w:rPr>
          <w:rFonts w:ascii="Arial" w:hAnsi="Arial" w:cs="Arial"/>
          <w:color w:val="111111"/>
          <w:sz w:val="26"/>
          <w:szCs w:val="26"/>
          <w:shd w:val="clear" w:color="auto" w:fill="F1F1F1"/>
        </w:rPr>
        <w:t> </w:t>
      </w:r>
      <w:r w:rsidRPr="005231F3">
        <w:rPr>
          <w:rFonts w:ascii="Arial" w:hAnsi="Arial" w:cs="Arial"/>
          <w:color w:val="111111"/>
          <w:sz w:val="26"/>
          <w:szCs w:val="26"/>
          <w:shd w:val="clear" w:color="auto" w:fill="F1F1F1"/>
        </w:rPr>
        <w:t>La madurez en materia de administración del sistema y sus operaciones.</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w:t>
      </w:r>
      <w:r w:rsidRPr="005231F3">
        <w:rPr>
          <w:rFonts w:ascii="Arial" w:hAnsi="Arial" w:cs="Arial"/>
          <w:color w:val="111111"/>
          <w:sz w:val="26"/>
          <w:szCs w:val="26"/>
          <w:shd w:val="clear" w:color="auto" w:fill="F1F1F1"/>
        </w:rPr>
        <w:t> </w:t>
      </w:r>
      <w:r w:rsidRPr="005231F3">
        <w:rPr>
          <w:rFonts w:ascii="Arial" w:hAnsi="Arial" w:cs="Arial"/>
          <w:color w:val="111111"/>
          <w:sz w:val="26"/>
          <w:szCs w:val="26"/>
          <w:shd w:val="clear" w:color="auto" w:fill="F1F1F1"/>
        </w:rPr>
        <w:t>Otros factores técnicos o de gestión: falta de refacciones, fallas en la cadena de escalamiento, etc.</w:t>
      </w:r>
    </w:p>
    <w:p w:rsidR="005231F3" w:rsidRDefault="005231F3" w:rsidP="00A675C6">
      <w:pPr>
        <w:spacing w:after="0"/>
        <w:jc w:val="both"/>
        <w:rPr>
          <w:rFonts w:ascii="Arial" w:hAnsi="Arial" w:cs="Arial"/>
          <w:color w:val="111111"/>
          <w:sz w:val="26"/>
          <w:szCs w:val="26"/>
          <w:shd w:val="clear" w:color="auto" w:fill="F1F1F1"/>
        </w:rPr>
      </w:pPr>
    </w:p>
    <w:p w:rsidR="00A675C6" w:rsidRDefault="00A675C6" w:rsidP="00A675C6">
      <w:pPr>
        <w:spacing w:after="0"/>
        <w:jc w:val="both"/>
        <w:rPr>
          <w:rFonts w:ascii="Arial" w:hAnsi="Arial" w:cs="Arial"/>
          <w:color w:val="111111"/>
          <w:sz w:val="26"/>
          <w:szCs w:val="26"/>
          <w:shd w:val="clear" w:color="auto" w:fill="F1F1F1"/>
        </w:rPr>
      </w:pPr>
    </w:p>
    <w:p w:rsidR="00A675C6" w:rsidRDefault="00A675C6" w:rsidP="00A675C6">
      <w:pPr>
        <w:spacing w:after="0"/>
        <w:jc w:val="both"/>
        <w:rPr>
          <w:rFonts w:ascii="Arial" w:hAnsi="Arial" w:cs="Arial"/>
          <w:color w:val="111111"/>
          <w:sz w:val="26"/>
          <w:szCs w:val="26"/>
          <w:shd w:val="clear" w:color="auto" w:fill="F1F1F1"/>
        </w:rPr>
      </w:pPr>
    </w:p>
    <w:p w:rsidR="00A675C6" w:rsidRDefault="00A675C6" w:rsidP="00A675C6">
      <w:pPr>
        <w:spacing w:after="0"/>
        <w:jc w:val="both"/>
        <w:rPr>
          <w:rFonts w:ascii="Arial" w:hAnsi="Arial" w:cs="Arial"/>
          <w:color w:val="111111"/>
          <w:sz w:val="26"/>
          <w:szCs w:val="26"/>
          <w:shd w:val="clear" w:color="auto" w:fill="F1F1F1"/>
        </w:rPr>
      </w:pPr>
    </w:p>
    <w:p w:rsidR="00A675C6" w:rsidRDefault="00A675C6" w:rsidP="00A675C6">
      <w:pPr>
        <w:spacing w:after="0"/>
        <w:jc w:val="both"/>
        <w:rPr>
          <w:rFonts w:ascii="Arial" w:hAnsi="Arial" w:cs="Arial"/>
          <w:color w:val="111111"/>
          <w:sz w:val="26"/>
          <w:szCs w:val="26"/>
          <w:shd w:val="clear" w:color="auto" w:fill="F1F1F1"/>
        </w:rPr>
      </w:pPr>
    </w:p>
    <w:p w:rsidR="00A675C6" w:rsidRDefault="00A675C6" w:rsidP="00A675C6">
      <w:pPr>
        <w:spacing w:after="0"/>
        <w:jc w:val="both"/>
        <w:rPr>
          <w:rFonts w:ascii="Arial" w:hAnsi="Arial" w:cs="Arial"/>
          <w:color w:val="111111"/>
          <w:sz w:val="26"/>
          <w:szCs w:val="26"/>
          <w:shd w:val="clear" w:color="auto" w:fill="F1F1F1"/>
        </w:rPr>
      </w:pPr>
    </w:p>
    <w:p w:rsidR="00A675C6" w:rsidRDefault="00A675C6" w:rsidP="00A675C6">
      <w:pPr>
        <w:spacing w:after="0"/>
        <w:jc w:val="both"/>
        <w:rPr>
          <w:rFonts w:ascii="Arial" w:hAnsi="Arial" w:cs="Arial"/>
          <w:color w:val="111111"/>
          <w:sz w:val="26"/>
          <w:szCs w:val="26"/>
          <w:shd w:val="clear" w:color="auto" w:fill="F1F1F1"/>
        </w:rPr>
      </w:pPr>
    </w:p>
    <w:p w:rsidR="00A675C6" w:rsidRDefault="00A675C6" w:rsidP="00A675C6">
      <w:pPr>
        <w:spacing w:after="0"/>
        <w:jc w:val="both"/>
        <w:rPr>
          <w:rFonts w:ascii="Arial" w:hAnsi="Arial" w:cs="Arial"/>
          <w:color w:val="111111"/>
          <w:sz w:val="26"/>
          <w:szCs w:val="26"/>
          <w:shd w:val="clear" w:color="auto" w:fill="F1F1F1"/>
        </w:rPr>
      </w:pPr>
    </w:p>
    <w:p w:rsidR="00A675C6" w:rsidRDefault="00A675C6" w:rsidP="00A675C6">
      <w:pPr>
        <w:spacing w:after="0"/>
        <w:jc w:val="both"/>
        <w:rPr>
          <w:rFonts w:ascii="Arial" w:hAnsi="Arial" w:cs="Arial"/>
          <w:color w:val="111111"/>
          <w:sz w:val="26"/>
          <w:szCs w:val="26"/>
          <w:shd w:val="clear" w:color="auto" w:fill="F1F1F1"/>
        </w:rPr>
      </w:pPr>
    </w:p>
    <w:p w:rsidR="00A675C6" w:rsidRDefault="00A675C6" w:rsidP="00A675C6">
      <w:pPr>
        <w:spacing w:after="0"/>
        <w:jc w:val="center"/>
        <w:rPr>
          <w:rFonts w:ascii="Arial" w:hAnsi="Arial" w:cs="Arial"/>
          <w:b/>
          <w:color w:val="111111"/>
          <w:sz w:val="30"/>
          <w:szCs w:val="30"/>
          <w:u w:val="single"/>
          <w:shd w:val="clear" w:color="auto" w:fill="F1F1F1"/>
        </w:rPr>
      </w:pPr>
      <w:r w:rsidRPr="00A675C6">
        <w:rPr>
          <w:rFonts w:ascii="Arial" w:hAnsi="Arial" w:cs="Arial"/>
          <w:b/>
          <w:color w:val="111111"/>
          <w:sz w:val="30"/>
          <w:szCs w:val="30"/>
          <w:u w:val="single"/>
          <w:shd w:val="clear" w:color="auto" w:fill="F1F1F1"/>
        </w:rPr>
        <w:t>ALTA DISPONIBILIDAD DE BASE DE DATOS ORACLE</w:t>
      </w:r>
    </w:p>
    <w:p w:rsidR="00A675C6" w:rsidRDefault="00A675C6" w:rsidP="00A675C6">
      <w:pPr>
        <w:spacing w:after="0"/>
        <w:jc w:val="both"/>
        <w:rPr>
          <w:rFonts w:ascii="Arial" w:hAnsi="Arial" w:cs="Arial"/>
          <w:color w:val="111111"/>
          <w:sz w:val="30"/>
          <w:szCs w:val="30"/>
          <w:shd w:val="clear" w:color="auto" w:fill="F1F1F1"/>
        </w:rPr>
      </w:pPr>
    </w:p>
    <w:p w:rsidR="00A675C6" w:rsidRDefault="00A675C6" w:rsidP="00A675C6">
      <w:pPr>
        <w:spacing w:after="0"/>
        <w:jc w:val="both"/>
        <w:rPr>
          <w:noProof/>
          <w:lang w:eastAsia="es-PE"/>
        </w:rPr>
      </w:pPr>
    </w:p>
    <w:p w:rsidR="00A675C6" w:rsidRDefault="00A675C6" w:rsidP="00A675C6">
      <w:pPr>
        <w:spacing w:after="0"/>
        <w:jc w:val="both"/>
        <w:rPr>
          <w:noProof/>
          <w:lang w:eastAsia="es-PE"/>
        </w:rPr>
      </w:pPr>
    </w:p>
    <w:p w:rsidR="00A675C6" w:rsidRDefault="00A675C6" w:rsidP="00A675C6">
      <w:pPr>
        <w:spacing w:after="0"/>
        <w:jc w:val="both"/>
        <w:rPr>
          <w:noProof/>
          <w:lang w:eastAsia="es-PE"/>
        </w:rPr>
      </w:pPr>
    </w:p>
    <w:p w:rsidR="00A675C6" w:rsidRPr="00A675C6" w:rsidRDefault="00A675C6" w:rsidP="00A675C6">
      <w:pPr>
        <w:spacing w:after="0"/>
        <w:jc w:val="both"/>
        <w:rPr>
          <w:rFonts w:ascii="Arial" w:hAnsi="Arial" w:cs="Arial"/>
          <w:color w:val="111111"/>
          <w:sz w:val="30"/>
          <w:szCs w:val="30"/>
          <w:shd w:val="clear" w:color="auto" w:fill="F1F1F1"/>
        </w:rPr>
      </w:pPr>
      <w:bookmarkStart w:id="0" w:name="_GoBack"/>
      <w:bookmarkEnd w:id="0"/>
      <w:r>
        <w:rPr>
          <w:noProof/>
          <w:lang w:eastAsia="es-PE"/>
        </w:rPr>
        <w:drawing>
          <wp:inline distT="0" distB="0" distL="0" distR="0">
            <wp:extent cx="4797425" cy="4845050"/>
            <wp:effectExtent l="0" t="0" r="3175" b="0"/>
            <wp:docPr id="1" name="Imagen 1" descr="Esta imagen muestra una topología que incluye un nivel de repositorio de metadatos en el que se ha implementado RAC (Real Application Clusters) de Oracle en dos sistemas. En la figura, las líneas discontinuas muestran la comunicación entre los sistemas. En la parte superior de la imagen, hay tres sistemas de estación de trabajo cliente etiquetados como &quot;nivel de cliente&quot;. Los clientes HTTP de las estaciones de trabajo se comunican con el equilibrador de carga. El equilibrador de carga se comunica con dos servidores Web. Un equilibrador de carga de seguridad se comunica con el equilibrador de carga. Debajo de estos componentes se encuentra en línea que indica el cortafuegos. Cada uno de los servidores Web se comunica a través del cortafuegos con dos nodos de servidor de aplicaciones. Estos nodos están agrupados en un clúster. Los clientes EJB de las estaciones de trabajo clientes se comunican con los nodos de servidor de aplicaciones. Un sistema de gestor de despliegue separado también se comunica con los nodos de servidor de aplicaciones. Los nodos y el sistema del gestor de despliegue forman el nivel de servicios. En la esquina inferior izquierda, hay dos sistemas que comparten una red de área de almacenamiento (SAN). Estos componentes forman el nivel de motor. Uno de los sistemas está etiquetado como &quot;activo&quot; y el otro como &quot;pasivo&quot;. Cada sistema ejecuta software de gestión de clústeres de HA. Hay una señal de pulsación entre los dos sistemas. Cada nodo del nivel de servicios se comunica con el servidor &quot;activo&quot;. En la esquina inferior derecha, hay dos sistemas etiquetados como &quot;sistema de repositorio de metadatos&quot;. Un clúster RAC está implementado en los sistemas. El clúster se comunica con un grupos de bases de datos etiquetado como &quot;conjunto de bases de datos&quot;. Cada uno de los servidores de aplicaciones se comunica con ambos sistemas de repositorio de meta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a imagen muestra una topología que incluye un nivel de repositorio de metadatos en el que se ha implementado RAC (Real Application Clusters) de Oracle en dos sistemas. En la figura, las líneas discontinuas muestran la comunicación entre los sistemas. En la parte superior de la imagen, hay tres sistemas de estación de trabajo cliente etiquetados como &quot;nivel de cliente&quot;. Los clientes HTTP de las estaciones de trabajo se comunican con el equilibrador de carga. El equilibrador de carga se comunica con dos servidores Web. Un equilibrador de carga de seguridad se comunica con el equilibrador de carga. Debajo de estos componentes se encuentra en línea que indica el cortafuegos. Cada uno de los servidores Web se comunica a través del cortafuegos con dos nodos de servidor de aplicaciones. Estos nodos están agrupados en un clúster. Los clientes EJB de las estaciones de trabajo clientes se comunican con los nodos de servidor de aplicaciones. Un sistema de gestor de despliegue separado también se comunica con los nodos de servidor de aplicaciones. Los nodos y el sistema del gestor de despliegue forman el nivel de servicios. En la esquina inferior izquierda, hay dos sistemas que comparten una red de área de almacenamiento (SAN). Estos componentes forman el nivel de motor. Uno de los sistemas está etiquetado como &quot;activo&quot; y el otro como &quot;pasivo&quot;. Cada sistema ejecuta software de gestión de clústeres de HA. Hay una señal de pulsación entre los dos sistemas. Cada nodo del nivel de servicios se comunica con el servidor &quot;activo&quot;. En la esquina inferior derecha, hay dos sistemas etiquetados como &quot;sistema de repositorio de metadatos&quot;. Un clúster RAC está implementado en los sistemas. El clúster se comunica con un grupos de bases de datos etiquetado como &quot;conjunto de bases de datos&quot;. Cada uno de los servidores de aplicaciones se comunica con ambos sistemas de repositorio de metadato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97425" cy="4845050"/>
                    </a:xfrm>
                    <a:prstGeom prst="rect">
                      <a:avLst/>
                    </a:prstGeom>
                    <a:noFill/>
                    <a:ln>
                      <a:noFill/>
                    </a:ln>
                  </pic:spPr>
                </pic:pic>
              </a:graphicData>
            </a:graphic>
          </wp:inline>
        </w:drawing>
      </w:r>
    </w:p>
    <w:sectPr w:rsidR="00A675C6" w:rsidRPr="00A675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1F3"/>
    <w:rsid w:val="00246C3B"/>
    <w:rsid w:val="005231F3"/>
    <w:rsid w:val="00A675C6"/>
    <w:rsid w:val="00BD5E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B527C-EF92-47F7-B787-888BC084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31F3"/>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2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476</Words>
  <Characters>2622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2017-11-28T23:59:00Z</dcterms:created>
  <dcterms:modified xsi:type="dcterms:W3CDTF">2017-11-29T00:20:00Z</dcterms:modified>
</cp:coreProperties>
</file>