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5037483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381B607B" w14:textId="33976BE0" w:rsidR="00351FEA" w:rsidRDefault="00351F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512142" wp14:editId="7C75A6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463ED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E4A987" w14:textId="31AE5728" w:rsidR="00351FEA" w:rsidRDefault="006303F9">
          <w:pPr>
            <w:rPr>
              <w:b/>
              <w:bCs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BF8E7" wp14:editId="271AB64A">
                    <wp:simplePos x="0" y="0"/>
                    <wp:positionH relativeFrom="page">
                      <wp:posOffset>-294606</wp:posOffset>
                    </wp:positionH>
                    <wp:positionV relativeFrom="page">
                      <wp:posOffset>5704874</wp:posOffset>
                    </wp:positionV>
                    <wp:extent cx="7925778" cy="914400"/>
                    <wp:effectExtent l="0" t="0" r="0" b="146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2577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630773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486F9E" w14:textId="5272DFCF" w:rsidR="00351FEA" w:rsidRDefault="00FA74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Account Manager: </w:t>
                                    </w:r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Yuanxin Nie, Rong Wang, Yiqi Shi, Zeneng Fan, Yuanpei Ma</w:t>
                                    </w:r>
                                  </w:p>
                                </w:sdtContent>
                              </w:sdt>
                              <w:p w14:paraId="70EED67D" w14:textId="58BFF637" w:rsidR="00351FEA" w:rsidRDefault="00351F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7BF8E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23.2pt;margin-top:449.2pt;width:624.1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630773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486F9E" w14:textId="5272DFCF" w:rsidR="00351FEA" w:rsidRDefault="00FA74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Account Manager: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Yuanxin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Nie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Wang, Yiqi Shi,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Zeneng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Fan,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Yuanpei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</w:t>
                              </w:r>
                            </w:p>
                          </w:sdtContent>
                        </w:sdt>
                        <w:p w14:paraId="70EED67D" w14:textId="58BFF637" w:rsidR="00351FEA" w:rsidRDefault="00351F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85B3D" wp14:editId="08527852">
                    <wp:simplePos x="0" y="0"/>
                    <wp:positionH relativeFrom="page">
                      <wp:posOffset>316711</wp:posOffset>
                    </wp:positionH>
                    <wp:positionV relativeFrom="page">
                      <wp:posOffset>1770311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67CA7" w14:textId="31C8CB6A" w:rsidR="00351FEA" w:rsidRDefault="009470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049359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2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Robo-aDVISOR </w:t>
                                    </w:r>
                                    <w:r w:rsidR="00F32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Monthly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vertAlign w:val="superscript"/>
                                  </w:rPr>
                                  <w:alias w:val="Subtitle"/>
                                  <w:tag w:val=""/>
                                  <w:id w:val="199899628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D8F50D" w14:textId="4E37EC59" w:rsidR="00351FEA" w:rsidRDefault="00FA74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A74F4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 1st-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 xml:space="preserve"> 31th</w:t>
                                    </w:r>
                                    <w:r w:rsidR="00373743" w:rsidRPr="00FA74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D85B3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24.95pt;margin-top:139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" filled="f" stroked="f" strokeweight=".5pt">
                    <v:textbox inset="126pt,0,54pt,0">
                      <w:txbxContent>
                        <w:p w14:paraId="3CB67CA7" w14:textId="31C8CB6A" w:rsidR="00351FEA" w:rsidRDefault="009470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049359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32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Robo-aDVISOR </w:t>
                              </w:r>
                              <w:r w:rsidR="00F32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Monthly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vertAlign w:val="superscript"/>
                            </w:rPr>
                            <w:alias w:val="Subtitle"/>
                            <w:tag w:val=""/>
                            <w:id w:val="199899628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D8F50D" w14:textId="4E37EC59" w:rsidR="00351FEA" w:rsidRDefault="00FA74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A74F4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 1st-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 xml:space="preserve"> 31th</w:t>
                              </w:r>
                              <w:r w:rsidR="00373743" w:rsidRPr="00FA74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1FEA"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24595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1293D" w14:textId="02DC5CBC" w:rsidR="00F76494" w:rsidRDefault="00F76494">
          <w:pPr>
            <w:pStyle w:val="TOCHeading"/>
          </w:pPr>
          <w:r w:rsidRPr="006303F9">
            <w:rPr>
              <w:sz w:val="36"/>
              <w:szCs w:val="36"/>
            </w:rPr>
            <w:t>Table of Contents</w:t>
          </w:r>
        </w:p>
        <w:p w14:paraId="3CBD20FE" w14:textId="77777777" w:rsidR="00820117" w:rsidRDefault="00F764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r w:rsidRPr="006303F9">
            <w:rPr>
              <w:b w:val="0"/>
              <w:bCs w:val="0"/>
              <w:sz w:val="28"/>
              <w:szCs w:val="28"/>
            </w:rPr>
            <w:fldChar w:fldCharType="begin"/>
          </w:r>
          <w:r w:rsidRPr="006303F9">
            <w:rPr>
              <w:sz w:val="28"/>
              <w:szCs w:val="28"/>
            </w:rPr>
            <w:instrText xml:space="preserve"> TOC \o "1-3" \h \z \u </w:instrText>
          </w:r>
          <w:r w:rsidRPr="006303F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18428617" w:history="1">
            <w:r w:rsidR="00820117" w:rsidRPr="001C763F">
              <w:rPr>
                <w:rStyle w:val="Hyperlink"/>
                <w:noProof/>
              </w:rPr>
              <w:t>Account Overview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EA78205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8" w:history="1">
            <w:r w:rsidR="00820117" w:rsidRPr="001C763F">
              <w:rPr>
                <w:rStyle w:val="Hyperlink"/>
                <w:noProof/>
              </w:rPr>
              <w:t>Portfolio Monthly Return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B33DA2D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9" w:history="1">
            <w:r w:rsidR="00820117" w:rsidRPr="001C763F">
              <w:rPr>
                <w:rStyle w:val="Hyperlink"/>
                <w:noProof/>
              </w:rPr>
              <w:t>Portfolio Net Asset Value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F45BA73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0" w:history="1">
            <w:r w:rsidR="00820117" w:rsidRPr="001C763F">
              <w:rPr>
                <w:rStyle w:val="Hyperlink"/>
                <w:noProof/>
              </w:rPr>
              <w:t>Allocation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10EC045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1" w:history="1">
            <w:r w:rsidR="00820117" w:rsidRPr="001C763F">
              <w:rPr>
                <w:rStyle w:val="Hyperlink"/>
                <w:noProof/>
              </w:rPr>
              <w:t>Allocation by Asset Class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_Toc518428621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6DF2DF85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2" w:history="1">
            <w:r w:rsidR="00820117" w:rsidRPr="001C763F">
              <w:rPr>
                <w:rStyle w:val="Hyperlink"/>
                <w:noProof/>
              </w:rPr>
              <w:t>Allocation by Sector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_Toc518428622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975E3F6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3" w:history="1">
            <w:r w:rsidR="00820117" w:rsidRPr="001C763F">
              <w:rPr>
                <w:rStyle w:val="Hyperlink"/>
                <w:noProof/>
              </w:rPr>
              <w:t>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_Toc518428623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AB7048B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4" w:history="1">
            <w:r w:rsidR="00820117" w:rsidRPr="001C763F">
              <w:rPr>
                <w:rStyle w:val="Hyperlink"/>
                <w:noProof/>
              </w:rPr>
              <w:t>Time Period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_Toc518428624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A3640D5" w14:textId="77777777" w:rsidR="00820117" w:rsidRDefault="009470A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5" w:history="1">
            <w:r w:rsidR="00820117" w:rsidRPr="001C763F">
              <w:rPr>
                <w:rStyle w:val="Hyperlink"/>
                <w:noProof/>
              </w:rPr>
              <w:t>Cumulative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_Toc518428625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E61FA47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6" w:history="1">
            <w:r w:rsidR="00820117" w:rsidRPr="001C763F">
              <w:rPr>
                <w:rStyle w:val="Hyperlink"/>
                <w:noProof/>
              </w:rPr>
              <w:t>Risk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_Toc518428626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6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FCB59E6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7" w:history="1">
            <w:r w:rsidR="00820117" w:rsidRPr="001C763F">
              <w:rPr>
                <w:rStyle w:val="Hyperlink"/>
                <w:noProof/>
              </w:rPr>
              <w:t>Scenario Analysis for Economic Factors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74499CE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8" w:history="1">
            <w:r w:rsidR="00820117" w:rsidRPr="001C763F">
              <w:rPr>
                <w:rStyle w:val="Hyperlink"/>
                <w:noProof/>
              </w:rPr>
              <w:t>Stress Testing and Sensitivity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7DCD5816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9" w:history="1">
            <w:r w:rsidR="00820117" w:rsidRPr="001C763F">
              <w:rPr>
                <w:rStyle w:val="Hyperlink"/>
                <w:noProof/>
              </w:rPr>
              <w:t>Fee Summary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9B9458B" w14:textId="77777777" w:rsidR="00820117" w:rsidRDefault="009470A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30" w:history="1">
            <w:r w:rsidR="00820117" w:rsidRPr="001C763F">
              <w:rPr>
                <w:rStyle w:val="Hyperlink"/>
                <w:noProof/>
              </w:rPr>
              <w:t>Note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_Toc518428630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0777CA47" w14:textId="1B0751DD" w:rsidR="00F76494" w:rsidRDefault="00F76494" w:rsidP="00C62215">
          <w:pPr>
            <w:outlineLvl w:val="1"/>
          </w:pPr>
          <w:r w:rsidRPr="006303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1CB167" w14:textId="77777777" w:rsidR="00804FC7" w:rsidRDefault="00804FC7"/>
    <w:p w14:paraId="49F70B07" w14:textId="77777777" w:rsidR="00351FEA" w:rsidRDefault="00351FEA"/>
    <w:p w14:paraId="277D1DEE" w14:textId="77777777" w:rsidR="00351FEA" w:rsidRDefault="00351FEA"/>
    <w:p w14:paraId="05F1E957" w14:textId="77777777" w:rsidR="00351FEA" w:rsidRDefault="00351FEA"/>
    <w:p w14:paraId="2C9152B9" w14:textId="77777777" w:rsidR="00351FEA" w:rsidRDefault="00351FEA"/>
    <w:p w14:paraId="5E1F4BD0" w14:textId="77777777" w:rsidR="00351FEA" w:rsidRDefault="00351FEA"/>
    <w:p w14:paraId="71AC44C6" w14:textId="77777777" w:rsidR="00351FEA" w:rsidRDefault="00351FEA"/>
    <w:p w14:paraId="78D75471" w14:textId="77777777" w:rsidR="00351FEA" w:rsidRDefault="00351FEA"/>
    <w:p w14:paraId="77CF5E45" w14:textId="77777777" w:rsidR="00351FEA" w:rsidRDefault="00351FEA"/>
    <w:p w14:paraId="69607A92" w14:textId="77777777" w:rsidR="00351FEA" w:rsidRDefault="00351FEA"/>
    <w:p w14:paraId="354B1678" w14:textId="77777777" w:rsidR="00351FEA" w:rsidRDefault="00351FEA"/>
    <w:p w14:paraId="0968606A" w14:textId="77777777" w:rsidR="00C7034A" w:rsidRDefault="00C7034A" w:rsidP="00CE209E"/>
    <w:p w14:paraId="46F1FD73" w14:textId="77777777" w:rsidR="007C3C1F" w:rsidRDefault="007C3C1F" w:rsidP="00CE209E"/>
    <w:p w14:paraId="7B793584" w14:textId="77777777" w:rsidR="00F76494" w:rsidRDefault="00F76494" w:rsidP="007C3C1F">
      <w:pPr>
        <w:pStyle w:val="Heading1"/>
      </w:pPr>
    </w:p>
    <w:p w14:paraId="7406FCCA" w14:textId="77777777" w:rsidR="00F76494" w:rsidRDefault="00F76494" w:rsidP="007C3C1F">
      <w:pPr>
        <w:pStyle w:val="Heading1"/>
      </w:pPr>
    </w:p>
    <w:p w14:paraId="4B1CCAB1" w14:textId="77777777" w:rsidR="00F76494" w:rsidRDefault="00F76494" w:rsidP="007C3C1F">
      <w:pPr>
        <w:pStyle w:val="Heading1"/>
      </w:pPr>
    </w:p>
    <w:p w14:paraId="2A98C523" w14:textId="77777777" w:rsidR="00F76494" w:rsidRDefault="00F76494" w:rsidP="007C3C1F">
      <w:pPr>
        <w:pStyle w:val="Heading1"/>
      </w:pPr>
    </w:p>
    <w:p w14:paraId="6B1DD8A7" w14:textId="77777777" w:rsidR="00824EBB" w:rsidRDefault="00824EBB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D6DA36" w14:textId="77777777" w:rsidR="00AB7B88" w:rsidRDefault="00AB7B88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0197C9" w14:textId="77777777" w:rsidR="00AB7B88" w:rsidRDefault="00AB7B88" w:rsidP="00AB7B88">
      <w:pPr>
        <w:pStyle w:val="Heading1"/>
        <w:rPr>
          <w:sz w:val="36"/>
          <w:szCs w:val="36"/>
        </w:rPr>
      </w:pPr>
      <w:bookmarkStart w:id="0" w:name="_Toc518428617"/>
      <w:r w:rsidRPr="00B732A7">
        <w:rPr>
          <w:sz w:val="36"/>
          <w:szCs w:val="36"/>
        </w:rPr>
        <w:t>Account Overview</w:t>
      </w:r>
      <w:bookmarkEnd w:id="0"/>
    </w:p>
    <w:p w14:paraId="062D892A" w14:textId="77777777" w:rsidR="007D5475" w:rsidRDefault="007D5475" w:rsidP="007D547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475" w14:paraId="51E74435" w14:textId="77777777" w:rsidTr="005A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91B6F" w14:textId="77777777" w:rsidR="007D5475" w:rsidRDefault="007D5475" w:rsidP="005A402C">
            <w:r>
              <w:t>Key Statistics</w:t>
            </w:r>
          </w:p>
        </w:tc>
        <w:tc>
          <w:tcPr>
            <w:tcW w:w="4675" w:type="dxa"/>
          </w:tcPr>
          <w:p w14:paraId="6B3E58F3" w14:textId="77777777" w:rsidR="007D5475" w:rsidRDefault="007D5475" w:rsidP="005A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7D5475" w14:paraId="5DDB17F9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08EAE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Beginning NAV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675" w:type="dxa"/>
          </w:tcPr>
          <w:p w14:paraId="51DE727D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D5A">
              <w:rPr>
                <w:rFonts w:ascii="Calibri" w:eastAsia="Times New Roman" w:hAnsi="Calibri" w:cs="Times New Roman"/>
                <w:color w:val="000000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4F4D5A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</w:tr>
      <w:tr w:rsidR="007D5475" w14:paraId="64FD9AC3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33A13F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Ending NAV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675" w:type="dxa"/>
          </w:tcPr>
          <w:p w14:paraId="0CBDB60C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</w:rPr>
              <w:t>161,145</w:t>
            </w:r>
          </w:p>
        </w:tc>
      </w:tr>
      <w:tr w:rsidR="007D5475" w14:paraId="0A99A878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711B7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Period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(2016/01 – 2018/05)</w:t>
            </w:r>
          </w:p>
        </w:tc>
        <w:tc>
          <w:tcPr>
            <w:tcW w:w="4675" w:type="dxa"/>
          </w:tcPr>
          <w:p w14:paraId="25DF8262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30.14%</w:t>
            </w:r>
          </w:p>
        </w:tc>
      </w:tr>
      <w:tr w:rsidR="007D5475" w14:paraId="6AB08BCF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0C648" w14:textId="77777777" w:rsidR="007D5475" w:rsidRPr="005A1171" w:rsidRDefault="007D5475" w:rsidP="005A402C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Pr="005A1171">
              <w:rPr>
                <w:b w:val="0"/>
              </w:rPr>
              <w:t>-year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(2017/06 – 2018/05)</w:t>
            </w:r>
          </w:p>
        </w:tc>
        <w:tc>
          <w:tcPr>
            <w:tcW w:w="4675" w:type="dxa"/>
          </w:tcPr>
          <w:p w14:paraId="212384F6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11.23%</w:t>
            </w:r>
          </w:p>
        </w:tc>
      </w:tr>
      <w:tr w:rsidR="007D5475" w14:paraId="2429B6AE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0781E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3-Month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(2013/03 – 2018/05)</w:t>
            </w:r>
          </w:p>
        </w:tc>
        <w:tc>
          <w:tcPr>
            <w:tcW w:w="4675" w:type="dxa"/>
          </w:tcPr>
          <w:p w14:paraId="513CCA4C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-6.20%</w:t>
            </w:r>
          </w:p>
        </w:tc>
      </w:tr>
      <w:tr w:rsidR="007D5475" w14:paraId="5DC14FC7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1E85B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1-Month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(2018/05)</w:t>
            </w:r>
          </w:p>
        </w:tc>
        <w:tc>
          <w:tcPr>
            <w:tcW w:w="4675" w:type="dxa"/>
          </w:tcPr>
          <w:p w14:paraId="344BDF46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-2.34%</w:t>
            </w:r>
          </w:p>
        </w:tc>
      </w:tr>
      <w:tr w:rsidR="007D5475" w14:paraId="0E9D0A90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1E6CD8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Best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675" w:type="dxa"/>
          </w:tcPr>
          <w:p w14:paraId="1642755C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7.70%</w:t>
            </w:r>
          </w:p>
        </w:tc>
      </w:tr>
      <w:tr w:rsidR="007D5475" w14:paraId="7F8CD35B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AFC5F" w14:textId="77777777" w:rsidR="007D5475" w:rsidRPr="005A1171" w:rsidRDefault="007D5475" w:rsidP="005A402C">
            <w:pPr>
              <w:rPr>
                <w:b w:val="0"/>
              </w:rPr>
            </w:pPr>
            <w:r w:rsidRPr="005A1171">
              <w:rPr>
                <w:b w:val="0"/>
              </w:rPr>
              <w:t>Worst Return</w:t>
            </w:r>
            <w:r>
              <w:rPr>
                <w:b w:val="0"/>
              </w:rPr>
              <w:t xml:space="preserve"> </w:t>
            </w:r>
            <w:r w:rsidRPr="00015A30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675" w:type="dxa"/>
          </w:tcPr>
          <w:p w14:paraId="6FA09BFB" w14:textId="77777777" w:rsidR="007D5475" w:rsidRDefault="007D5475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-4.75%</w:t>
            </w:r>
          </w:p>
        </w:tc>
      </w:tr>
    </w:tbl>
    <w:p w14:paraId="40E4B3B1" w14:textId="77777777" w:rsidR="0023370A" w:rsidRPr="006A4119" w:rsidRDefault="0023370A" w:rsidP="0023370A"/>
    <w:p w14:paraId="6D4BC2D6" w14:textId="408FB18B" w:rsidR="0023370A" w:rsidRDefault="0023370A" w:rsidP="00C62215">
      <w:pPr>
        <w:pStyle w:val="Heading2"/>
      </w:pPr>
      <w:bookmarkStart w:id="1" w:name="_Toc518428618"/>
      <w:r w:rsidRPr="00C00BCD">
        <w:t xml:space="preserve">Portfolio </w:t>
      </w:r>
      <w:r w:rsidR="00450512" w:rsidRPr="00C00BCD">
        <w:rPr>
          <w:rFonts w:hint="eastAsia"/>
        </w:rPr>
        <w:t xml:space="preserve">Monthly </w:t>
      </w:r>
      <w:r w:rsidRPr="00C00BCD">
        <w:t>Return</w:t>
      </w:r>
      <w:bookmarkEnd w:id="1"/>
    </w:p>
    <w:p w14:paraId="4E913580" w14:textId="33BE5507" w:rsidR="00D44523" w:rsidRPr="00D44523" w:rsidRDefault="00D44523" w:rsidP="00D44523">
      <w:pPr>
        <w:jc w:val="center"/>
      </w:pPr>
      <w:r>
        <w:rPr>
          <w:noProof/>
        </w:rPr>
        <w:drawing>
          <wp:inline distT="0" distB="0" distL="0" distR="0" wp14:anchorId="27D0CC1B" wp14:editId="6D46F637">
            <wp:extent cx="5666551" cy="2354099"/>
            <wp:effectExtent l="0" t="0" r="0" b="8255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7E8069" w14:textId="77777777" w:rsidR="0023370A" w:rsidRPr="005655B6" w:rsidRDefault="0023370A" w:rsidP="005655B6"/>
    <w:p w14:paraId="19A67666" w14:textId="10D483F5" w:rsidR="005655B6" w:rsidRDefault="005655B6" w:rsidP="00C00BCD">
      <w:pPr>
        <w:jc w:val="center"/>
      </w:pPr>
    </w:p>
    <w:p w14:paraId="72D2293A" w14:textId="77777777" w:rsidR="005655B6" w:rsidRDefault="005655B6" w:rsidP="00C62215">
      <w:pPr>
        <w:pStyle w:val="Heading2"/>
      </w:pPr>
      <w:bookmarkStart w:id="2" w:name="_Toc518428619"/>
      <w:r w:rsidRPr="00C00BCD">
        <w:t>Portfolio Net Asset Value</w:t>
      </w:r>
      <w:bookmarkEnd w:id="2"/>
    </w:p>
    <w:p w14:paraId="295FA937" w14:textId="77777777" w:rsidR="00B159D2" w:rsidRPr="00B159D2" w:rsidRDefault="00B159D2" w:rsidP="00B159D2"/>
    <w:p w14:paraId="53E14E82" w14:textId="4FF42346" w:rsidR="00FB6158" w:rsidRDefault="00B159D2" w:rsidP="006736EA">
      <w:pPr>
        <w:jc w:val="center"/>
      </w:pPr>
      <w:r>
        <w:rPr>
          <w:noProof/>
        </w:rPr>
        <w:drawing>
          <wp:inline distT="0" distB="0" distL="0" distR="0" wp14:anchorId="048E1C6E" wp14:editId="0A85E31B">
            <wp:extent cx="5728335" cy="2306732"/>
            <wp:effectExtent l="0" t="0" r="12065" b="508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3E4501" w14:textId="77777777" w:rsidR="006736EA" w:rsidRPr="00B732A7" w:rsidRDefault="006736EA" w:rsidP="006736EA">
      <w:pPr>
        <w:pStyle w:val="Heading1"/>
        <w:rPr>
          <w:sz w:val="36"/>
          <w:szCs w:val="36"/>
        </w:rPr>
      </w:pPr>
      <w:bookmarkStart w:id="3" w:name="_Toc518428620"/>
      <w:bookmarkStart w:id="4" w:name="_Toc518428621"/>
      <w:r w:rsidRPr="00B732A7">
        <w:rPr>
          <w:rFonts w:hint="eastAsia"/>
          <w:sz w:val="36"/>
          <w:szCs w:val="36"/>
        </w:rPr>
        <w:t>Allocation</w:t>
      </w:r>
      <w:bookmarkEnd w:id="3"/>
    </w:p>
    <w:p w14:paraId="63FA1D2D" w14:textId="77777777" w:rsidR="006736EA" w:rsidRDefault="006736EA" w:rsidP="007F62C3">
      <w:pPr>
        <w:rPr>
          <w:rStyle w:val="Heading2Char"/>
          <w:color w:val="000000" w:themeColor="text1"/>
        </w:rPr>
      </w:pPr>
    </w:p>
    <w:p w14:paraId="22183326" w14:textId="5B22A177" w:rsidR="007F62C3" w:rsidRDefault="007F62C3" w:rsidP="007F62C3">
      <w:pPr>
        <w:rPr>
          <w:b/>
        </w:rPr>
      </w:pPr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by Asset Class</w:t>
      </w:r>
      <w:bookmarkEnd w:id="4"/>
      <w:r>
        <w:rPr>
          <w:b/>
        </w:rPr>
        <w:t>:</w:t>
      </w:r>
      <w:r w:rsidR="00A822A9">
        <w:rPr>
          <w:rFonts w:hint="eastAsia"/>
          <w:b/>
        </w:rPr>
        <w:t xml:space="preserve">                                             </w:t>
      </w:r>
      <w:r w:rsidR="00A822A9" w:rsidRPr="00F71349">
        <w:rPr>
          <w:rStyle w:val="Heading2Char"/>
          <w:rFonts w:hint="eastAsia"/>
          <w:color w:val="000000" w:themeColor="text1"/>
        </w:rPr>
        <w:t xml:space="preserve">Allocation </w:t>
      </w:r>
      <w:r w:rsidR="00A822A9" w:rsidRPr="00F71349">
        <w:rPr>
          <w:rStyle w:val="Heading2Char"/>
          <w:color w:val="000000" w:themeColor="text1"/>
        </w:rPr>
        <w:t>by Region</w:t>
      </w:r>
      <w:r w:rsidR="00A822A9">
        <w:rPr>
          <w:b/>
        </w:rPr>
        <w:t>:</w:t>
      </w:r>
    </w:p>
    <w:p w14:paraId="156EECF5" w14:textId="01622953" w:rsidR="007F62C3" w:rsidRDefault="00427777" w:rsidP="00A822A9">
      <w:pPr>
        <w:rPr>
          <w:b/>
        </w:rPr>
      </w:pPr>
      <w:r>
        <w:rPr>
          <w:noProof/>
        </w:rPr>
        <w:drawing>
          <wp:inline distT="0" distB="0" distL="0" distR="0" wp14:anchorId="06CFEB7C" wp14:editId="0B7FB687">
            <wp:extent cx="2604135" cy="2158416"/>
            <wp:effectExtent l="0" t="0" r="12065" b="6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822A9">
        <w:rPr>
          <w:rFonts w:hint="eastAsia"/>
          <w:b/>
        </w:rPr>
        <w:t xml:space="preserve">                </w:t>
      </w:r>
      <w:r>
        <w:rPr>
          <w:noProof/>
        </w:rPr>
        <w:drawing>
          <wp:inline distT="0" distB="0" distL="0" distR="0" wp14:anchorId="2DD817B1" wp14:editId="31EF2544">
            <wp:extent cx="2709167" cy="2113881"/>
            <wp:effectExtent l="0" t="0" r="889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179FF7" w14:textId="5D268BD4" w:rsidR="00A822A9" w:rsidRDefault="00A822A9" w:rsidP="00A822A9">
      <w:pPr>
        <w:rPr>
          <w:b/>
        </w:rPr>
      </w:pPr>
    </w:p>
    <w:p w14:paraId="3076C4F0" w14:textId="3FE23330" w:rsidR="00D43805" w:rsidRDefault="00D43805" w:rsidP="00895AF6">
      <w:pPr>
        <w:rPr>
          <w:b/>
        </w:rPr>
      </w:pPr>
    </w:p>
    <w:p w14:paraId="41545C3F" w14:textId="162948EE" w:rsidR="00A54CA8" w:rsidRDefault="00E6688A" w:rsidP="00895AF6">
      <w:pPr>
        <w:rPr>
          <w:b/>
        </w:rPr>
      </w:pPr>
      <w:bookmarkStart w:id="5" w:name="_Toc518428622"/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</w:t>
      </w:r>
      <w:r w:rsidR="00A54CA8" w:rsidRPr="00B732A7">
        <w:rPr>
          <w:rStyle w:val="Heading2Char"/>
          <w:color w:val="000000" w:themeColor="text1"/>
        </w:rPr>
        <w:t>y Sector</w:t>
      </w:r>
      <w:bookmarkEnd w:id="5"/>
      <w:r w:rsidR="00A54CA8">
        <w:rPr>
          <w:b/>
        </w:rPr>
        <w:t>:</w:t>
      </w:r>
    </w:p>
    <w:p w14:paraId="4CEE4757" w14:textId="09F2A7A0" w:rsidR="007F62C3" w:rsidRDefault="007F62C3" w:rsidP="007F62C3">
      <w:pPr>
        <w:jc w:val="center"/>
        <w:rPr>
          <w:b/>
        </w:rPr>
      </w:pPr>
      <w:r>
        <w:rPr>
          <w:noProof/>
        </w:rPr>
        <w:drawing>
          <wp:inline distT="0" distB="0" distL="0" distR="0" wp14:anchorId="3D1548B7" wp14:editId="7BD635AE">
            <wp:extent cx="5547103" cy="2176986"/>
            <wp:effectExtent l="0" t="0" r="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33AF57" w14:textId="77777777" w:rsidR="007F62C3" w:rsidRDefault="007F62C3" w:rsidP="00895AF6">
      <w:pPr>
        <w:rPr>
          <w:b/>
        </w:rPr>
      </w:pPr>
    </w:p>
    <w:p w14:paraId="0352A99B" w14:textId="294687ED" w:rsidR="004570DF" w:rsidRPr="00F7226B" w:rsidRDefault="000039F4" w:rsidP="00F7226B">
      <w:pPr>
        <w:jc w:val="center"/>
        <w:rPr>
          <w:b/>
        </w:rPr>
      </w:pPr>
      <w:r>
        <w:rPr>
          <w:noProof/>
        </w:rPr>
        <w:drawing>
          <wp:inline distT="0" distB="0" distL="0" distR="0" wp14:anchorId="4110DEC8" wp14:editId="5CF82C44">
            <wp:extent cx="5555340" cy="1996440"/>
            <wp:effectExtent l="0" t="0" r="7620" b="1016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0A0114" w14:textId="0B79AD8C" w:rsidR="004741A6" w:rsidRDefault="00A856DC" w:rsidP="00895AF6">
      <w:pPr>
        <w:pStyle w:val="Heading1"/>
        <w:rPr>
          <w:sz w:val="36"/>
          <w:szCs w:val="36"/>
        </w:rPr>
      </w:pPr>
      <w:bookmarkStart w:id="6" w:name="_Toc518428623"/>
      <w:r w:rsidRPr="00B732A7">
        <w:rPr>
          <w:rFonts w:hint="eastAsia"/>
          <w:sz w:val="36"/>
          <w:szCs w:val="36"/>
        </w:rPr>
        <w:t>Benchmark Comparison</w:t>
      </w:r>
      <w:bookmarkEnd w:id="6"/>
    </w:p>
    <w:p w14:paraId="49F027FA" w14:textId="77777777" w:rsidR="007C0D31" w:rsidRDefault="007C0D31" w:rsidP="007C0D31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3"/>
        <w:gridCol w:w="2154"/>
        <w:gridCol w:w="2197"/>
        <w:gridCol w:w="2646"/>
      </w:tblGrid>
      <w:tr w:rsidR="007C0D31" w14:paraId="3C59CC0A" w14:textId="77777777" w:rsidTr="005A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684D8C90" w14:textId="77777777" w:rsidR="007C0D31" w:rsidRDefault="007C0D31" w:rsidP="005A402C">
            <w:pPr>
              <w:rPr>
                <w:b w:val="0"/>
              </w:rPr>
            </w:pPr>
            <w:r>
              <w:rPr>
                <w:b w:val="0"/>
              </w:rPr>
              <w:t>Portfolio</w:t>
            </w:r>
          </w:p>
        </w:tc>
        <w:tc>
          <w:tcPr>
            <w:tcW w:w="2154" w:type="dxa"/>
            <w:tcBorders>
              <w:top w:val="single" w:sz="12" w:space="0" w:color="4472C4" w:themeColor="accent1"/>
            </w:tcBorders>
          </w:tcPr>
          <w:p w14:paraId="0216673A" w14:textId="77777777" w:rsidR="007C0D31" w:rsidRDefault="007C0D31" w:rsidP="005A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 (annually)</w:t>
            </w:r>
          </w:p>
        </w:tc>
        <w:tc>
          <w:tcPr>
            <w:tcW w:w="2197" w:type="dxa"/>
            <w:tcBorders>
              <w:top w:val="single" w:sz="12" w:space="0" w:color="4472C4" w:themeColor="accent1"/>
            </w:tcBorders>
          </w:tcPr>
          <w:p w14:paraId="3082D9AA" w14:textId="77777777" w:rsidR="007C0D31" w:rsidRDefault="007C0D31" w:rsidP="005A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Volatility (annually)</w:t>
            </w:r>
          </w:p>
        </w:tc>
        <w:tc>
          <w:tcPr>
            <w:tcW w:w="2646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26E50E14" w14:textId="77777777" w:rsidR="007C0D31" w:rsidRDefault="007C0D31" w:rsidP="005A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Sharpe-ratio (annually)</w:t>
            </w:r>
          </w:p>
        </w:tc>
      </w:tr>
      <w:tr w:rsidR="007C0D31" w14:paraId="4C9DD4C9" w14:textId="77777777" w:rsidTr="005A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left w:val="single" w:sz="12" w:space="0" w:color="4472C4" w:themeColor="accent1"/>
            </w:tcBorders>
          </w:tcPr>
          <w:p w14:paraId="5BF56D01" w14:textId="77777777" w:rsidR="007C0D31" w:rsidRDefault="007C0D31" w:rsidP="005A402C">
            <w:pPr>
              <w:rPr>
                <w:b w:val="0"/>
              </w:rPr>
            </w:pPr>
            <w:r>
              <w:rPr>
                <w:b w:val="0"/>
              </w:rPr>
              <w:t>High-risk</w:t>
            </w:r>
          </w:p>
        </w:tc>
        <w:tc>
          <w:tcPr>
            <w:tcW w:w="2154" w:type="dxa"/>
          </w:tcPr>
          <w:p w14:paraId="7163A33D" w14:textId="77777777" w:rsidR="007C0D31" w:rsidRPr="007C0D31" w:rsidRDefault="007C0D31" w:rsidP="005A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D31">
              <w:t>11.48%</w:t>
            </w:r>
          </w:p>
        </w:tc>
        <w:tc>
          <w:tcPr>
            <w:tcW w:w="2197" w:type="dxa"/>
          </w:tcPr>
          <w:p w14:paraId="167A603C" w14:textId="77777777" w:rsidR="007C0D31" w:rsidRPr="007C0D31" w:rsidRDefault="007C0D31" w:rsidP="005A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D31">
              <w:t>10.05%</w:t>
            </w:r>
          </w:p>
        </w:tc>
        <w:tc>
          <w:tcPr>
            <w:tcW w:w="2646" w:type="dxa"/>
            <w:tcBorders>
              <w:right w:val="single" w:sz="12" w:space="0" w:color="4472C4" w:themeColor="accent1"/>
            </w:tcBorders>
          </w:tcPr>
          <w:p w14:paraId="6FCAA80C" w14:textId="77777777" w:rsidR="007C0D31" w:rsidRPr="007C0D31" w:rsidRDefault="007C0D31" w:rsidP="005A4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C0D31">
              <w:rPr>
                <w:rFonts w:ascii="Calibri" w:eastAsia="Times New Roman" w:hAnsi="Calibri" w:cs="Times New Roman"/>
                <w:b/>
                <w:color w:val="000000"/>
              </w:rPr>
              <w:t>1.0927</w:t>
            </w:r>
          </w:p>
        </w:tc>
      </w:tr>
      <w:tr w:rsidR="007C0D31" w14:paraId="23E7F5C7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left w:val="single" w:sz="12" w:space="0" w:color="4472C4" w:themeColor="accent1"/>
            </w:tcBorders>
          </w:tcPr>
          <w:p w14:paraId="5DF909BF" w14:textId="77777777" w:rsidR="007C0D31" w:rsidRDefault="007C0D31" w:rsidP="005A402C">
            <w:pPr>
              <w:rPr>
                <w:b w:val="0"/>
              </w:rPr>
            </w:pPr>
            <w:r>
              <w:rPr>
                <w:b w:val="0"/>
              </w:rPr>
              <w:t>High-risk benchmark</w:t>
            </w:r>
          </w:p>
        </w:tc>
        <w:tc>
          <w:tcPr>
            <w:tcW w:w="2154" w:type="dxa"/>
          </w:tcPr>
          <w:p w14:paraId="35F7BF5A" w14:textId="77777777" w:rsidR="007C0D31" w:rsidRPr="007C0D31" w:rsidRDefault="007C0D31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D31">
              <w:t>9.61%</w:t>
            </w:r>
          </w:p>
        </w:tc>
        <w:tc>
          <w:tcPr>
            <w:tcW w:w="2197" w:type="dxa"/>
          </w:tcPr>
          <w:p w14:paraId="7C74A6CD" w14:textId="77777777" w:rsidR="007C0D31" w:rsidRPr="007C0D31" w:rsidRDefault="007C0D31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D31">
              <w:t>9.94%</w:t>
            </w:r>
          </w:p>
        </w:tc>
        <w:tc>
          <w:tcPr>
            <w:tcW w:w="2646" w:type="dxa"/>
            <w:tcBorders>
              <w:right w:val="single" w:sz="12" w:space="0" w:color="4472C4" w:themeColor="accent1"/>
            </w:tcBorders>
          </w:tcPr>
          <w:p w14:paraId="222FEEC6" w14:textId="77777777" w:rsidR="007C0D31" w:rsidRPr="007C0D31" w:rsidRDefault="007C0D31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C0D31">
              <w:rPr>
                <w:rFonts w:ascii="Calibri" w:eastAsia="Times New Roman" w:hAnsi="Calibri" w:cs="Times New Roman"/>
                <w:b/>
                <w:color w:val="000000"/>
              </w:rPr>
              <w:t>0.7661</w:t>
            </w:r>
          </w:p>
        </w:tc>
      </w:tr>
    </w:tbl>
    <w:p w14:paraId="189C8B8D" w14:textId="77777777" w:rsidR="0064680A" w:rsidRPr="0064680A" w:rsidRDefault="0064680A" w:rsidP="0064680A"/>
    <w:p w14:paraId="465E837F" w14:textId="77777777" w:rsidR="00A856DC" w:rsidRDefault="00A856DC" w:rsidP="00A856DC"/>
    <w:p w14:paraId="32E76F3C" w14:textId="79971B40" w:rsidR="00A856DC" w:rsidRDefault="00A856DC" w:rsidP="00824EBB">
      <w:pPr>
        <w:pStyle w:val="Heading2"/>
        <w:rPr>
          <w:color w:val="000000" w:themeColor="text1"/>
        </w:rPr>
      </w:pPr>
      <w:bookmarkStart w:id="7" w:name="_Toc518428624"/>
      <w:r w:rsidRPr="00824EBB">
        <w:rPr>
          <w:rFonts w:hint="eastAsia"/>
          <w:color w:val="000000" w:themeColor="text1"/>
        </w:rPr>
        <w:t xml:space="preserve">Time Period </w:t>
      </w:r>
      <w:r w:rsidR="003A7A42" w:rsidRPr="00824EBB">
        <w:rPr>
          <w:rFonts w:hint="eastAsia"/>
          <w:color w:val="000000" w:themeColor="text1"/>
        </w:rPr>
        <w:t xml:space="preserve">Benchmark </w:t>
      </w:r>
      <w:r w:rsidRPr="00824EBB">
        <w:rPr>
          <w:rFonts w:hint="eastAsia"/>
          <w:color w:val="000000" w:themeColor="text1"/>
        </w:rPr>
        <w:t>Comparison</w:t>
      </w:r>
      <w:bookmarkEnd w:id="7"/>
      <w:r w:rsidRPr="00824EBB">
        <w:rPr>
          <w:rFonts w:hint="eastAsia"/>
          <w:color w:val="000000" w:themeColor="text1"/>
        </w:rPr>
        <w:t xml:space="preserve"> </w:t>
      </w:r>
    </w:p>
    <w:p w14:paraId="4B95BE6F" w14:textId="77777777" w:rsidR="007C0D31" w:rsidRPr="007C0D31" w:rsidRDefault="007C0D31" w:rsidP="007C0D31"/>
    <w:p w14:paraId="14CC9096" w14:textId="17F70A5A" w:rsidR="007C0D31" w:rsidRPr="007C0D31" w:rsidRDefault="007C0D31" w:rsidP="007C0D31">
      <w:pPr>
        <w:jc w:val="center"/>
      </w:pPr>
      <w:r>
        <w:rPr>
          <w:noProof/>
        </w:rPr>
        <w:drawing>
          <wp:inline distT="0" distB="0" distL="0" distR="0" wp14:anchorId="7B54DB89" wp14:editId="00D77D11">
            <wp:extent cx="6033135" cy="2793451"/>
            <wp:effectExtent l="0" t="0" r="12065" b="63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F551A99" w14:textId="77777777" w:rsidR="003A7A42" w:rsidRDefault="003A7A42" w:rsidP="00A856DC"/>
    <w:p w14:paraId="0A174ECB" w14:textId="4AB79532" w:rsidR="003A7A42" w:rsidRDefault="003A7A42" w:rsidP="003A7A42">
      <w:pPr>
        <w:jc w:val="center"/>
      </w:pPr>
    </w:p>
    <w:p w14:paraId="10B54A81" w14:textId="77777777" w:rsidR="003A7A42" w:rsidRDefault="003A7A42" w:rsidP="003A7A42">
      <w:pPr>
        <w:jc w:val="center"/>
      </w:pPr>
    </w:p>
    <w:p w14:paraId="15F7F222" w14:textId="1EBB1F1A" w:rsidR="003A7A42" w:rsidRPr="00824EBB" w:rsidRDefault="003A7A42" w:rsidP="00824EBB">
      <w:pPr>
        <w:pStyle w:val="Heading2"/>
        <w:rPr>
          <w:color w:val="000000" w:themeColor="text1"/>
        </w:rPr>
      </w:pPr>
      <w:bookmarkStart w:id="8" w:name="_Toc518428625"/>
      <w:r w:rsidRPr="00824EBB">
        <w:rPr>
          <w:color w:val="000000" w:themeColor="text1"/>
        </w:rPr>
        <w:t>Cumulative</w:t>
      </w:r>
      <w:r w:rsidRPr="00824EBB">
        <w:rPr>
          <w:rFonts w:hint="eastAsia"/>
          <w:color w:val="000000" w:themeColor="text1"/>
        </w:rPr>
        <w:t xml:space="preserve"> Benchmark Comparison</w:t>
      </w:r>
      <w:bookmarkEnd w:id="8"/>
    </w:p>
    <w:p w14:paraId="66B5F2F4" w14:textId="77777777" w:rsidR="002E7CD4" w:rsidRDefault="002E7CD4" w:rsidP="003A7A42"/>
    <w:p w14:paraId="6D366B08" w14:textId="7067D8E9" w:rsidR="002E7CD4" w:rsidRDefault="007C0D31" w:rsidP="007C0D31">
      <w:pPr>
        <w:jc w:val="center"/>
      </w:pPr>
      <w:r>
        <w:rPr>
          <w:noProof/>
        </w:rPr>
        <w:drawing>
          <wp:inline distT="0" distB="0" distL="0" distR="0" wp14:anchorId="5AF9591B" wp14:editId="7F938264">
            <wp:extent cx="5943600" cy="2303145"/>
            <wp:effectExtent l="0" t="0" r="0" b="825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5EF8C0" w14:textId="77777777" w:rsidR="0064680A" w:rsidRDefault="0064680A" w:rsidP="003A7A42"/>
    <w:p w14:paraId="6F847E94" w14:textId="2FA36A65" w:rsidR="00462F6A" w:rsidRDefault="003D2B93" w:rsidP="00462F6A">
      <w:pPr>
        <w:pStyle w:val="Heading1"/>
        <w:rPr>
          <w:sz w:val="36"/>
          <w:szCs w:val="36"/>
        </w:rPr>
      </w:pPr>
      <w:bookmarkStart w:id="9" w:name="_Toc518428626"/>
      <w:r w:rsidRPr="00B732A7">
        <w:rPr>
          <w:rFonts w:hint="eastAsia"/>
          <w:sz w:val="36"/>
          <w:szCs w:val="36"/>
        </w:rPr>
        <w:t>Risk Analysis</w:t>
      </w:r>
      <w:bookmarkEnd w:id="9"/>
    </w:p>
    <w:p w14:paraId="3F84A7C9" w14:textId="77777777" w:rsidR="00225793" w:rsidRPr="00225793" w:rsidRDefault="00225793" w:rsidP="0022579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793" w14:paraId="142DECE5" w14:textId="77777777" w:rsidTr="005A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5B721" w14:textId="77777777" w:rsidR="00225793" w:rsidRDefault="00225793" w:rsidP="005A402C">
            <w:r>
              <w:t>Risk Analysis</w:t>
            </w:r>
          </w:p>
        </w:tc>
        <w:tc>
          <w:tcPr>
            <w:tcW w:w="4675" w:type="dxa"/>
          </w:tcPr>
          <w:p w14:paraId="110F549E" w14:textId="77777777" w:rsidR="00225793" w:rsidRDefault="00225793" w:rsidP="005A4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225793" w14:paraId="1B6739AC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5C936" w14:textId="64C64507" w:rsidR="00225793" w:rsidRPr="008B79F3" w:rsidRDefault="00225793" w:rsidP="005A402C">
            <w:pPr>
              <w:rPr>
                <w:b w:val="0"/>
              </w:rPr>
            </w:pPr>
            <w:r w:rsidRPr="008B79F3">
              <w:rPr>
                <w:b w:val="0"/>
              </w:rPr>
              <w:t>Max Drawdown</w:t>
            </w:r>
            <w:r w:rsidR="00404FEC">
              <w:rPr>
                <w:rFonts w:hint="eastAsia"/>
                <w:b w:val="0"/>
              </w:rPr>
              <w:t xml:space="preserve"> </w:t>
            </w:r>
            <w:r w:rsidR="00404FEC" w:rsidRPr="00404FEC">
              <w:rPr>
                <w:rFonts w:hint="eastAsia"/>
                <w:b w:val="0"/>
                <w:sz w:val="20"/>
                <w:szCs w:val="20"/>
              </w:rPr>
              <w:t>(1 year)</w:t>
            </w:r>
          </w:p>
        </w:tc>
        <w:tc>
          <w:tcPr>
            <w:tcW w:w="4675" w:type="dxa"/>
          </w:tcPr>
          <w:p w14:paraId="4A64E30D" w14:textId="1B0C3CC9" w:rsidR="00225793" w:rsidRDefault="00225793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>
              <w:rPr>
                <w:rFonts w:hint="eastAsia"/>
              </w:rPr>
              <w:t>.</w:t>
            </w:r>
            <w:r>
              <w:t>60</w:t>
            </w:r>
            <w:r>
              <w:rPr>
                <w:rFonts w:hint="eastAsia"/>
              </w:rPr>
              <w:t>%</w:t>
            </w:r>
          </w:p>
        </w:tc>
      </w:tr>
      <w:tr w:rsidR="00225793" w14:paraId="4850B2A6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C4E0E" w14:textId="012B5B95" w:rsidR="00225793" w:rsidRPr="008B79F3" w:rsidRDefault="004541AD" w:rsidP="005A402C">
            <w:pPr>
              <w:rPr>
                <w:b w:val="0"/>
              </w:rPr>
            </w:pPr>
            <w:r>
              <w:rPr>
                <w:b w:val="0"/>
              </w:rPr>
              <w:t>Annualize</w:t>
            </w:r>
            <w:r>
              <w:rPr>
                <w:rFonts w:hint="eastAsia"/>
                <w:b w:val="0"/>
              </w:rPr>
              <w:t xml:space="preserve">d </w:t>
            </w:r>
            <w:r w:rsidR="00225793" w:rsidRPr="008B79F3">
              <w:rPr>
                <w:b w:val="0"/>
              </w:rPr>
              <w:t>Sharpe Ratio</w:t>
            </w:r>
          </w:p>
        </w:tc>
        <w:tc>
          <w:tcPr>
            <w:tcW w:w="4675" w:type="dxa"/>
          </w:tcPr>
          <w:p w14:paraId="72EB4F5E" w14:textId="77777777" w:rsidR="00225793" w:rsidRDefault="00225793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767">
              <w:rPr>
                <w:rFonts w:ascii="Calibri" w:eastAsia="Times New Roman" w:hAnsi="Calibri" w:cs="Times New Roman"/>
                <w:color w:val="000000"/>
              </w:rPr>
              <w:t>1.0927</w:t>
            </w:r>
          </w:p>
        </w:tc>
      </w:tr>
      <w:tr w:rsidR="00225793" w14:paraId="22EA8CEC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25A8D" w14:textId="776516C0" w:rsidR="00225793" w:rsidRPr="008B79F3" w:rsidRDefault="004541AD" w:rsidP="005A402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Annualized </w:t>
            </w:r>
            <w:r w:rsidR="00225793" w:rsidRPr="008B79F3">
              <w:rPr>
                <w:b w:val="0"/>
              </w:rPr>
              <w:t>Volatility</w:t>
            </w:r>
          </w:p>
        </w:tc>
        <w:tc>
          <w:tcPr>
            <w:tcW w:w="4675" w:type="dxa"/>
            <w:vAlign w:val="bottom"/>
          </w:tcPr>
          <w:p w14:paraId="38B8C1AB" w14:textId="77777777" w:rsidR="00225793" w:rsidRDefault="00225793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0.1214</w:t>
            </w:r>
          </w:p>
        </w:tc>
      </w:tr>
      <w:tr w:rsidR="00225793" w14:paraId="0582633D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2CFE5F" w14:textId="77777777" w:rsidR="00225793" w:rsidRPr="008B79F3" w:rsidRDefault="00225793" w:rsidP="005A402C">
            <w:pPr>
              <w:rPr>
                <w:b w:val="0"/>
              </w:rPr>
            </w:pPr>
            <w:r w:rsidRPr="008B79F3">
              <w:rPr>
                <w:b w:val="0"/>
              </w:rPr>
              <w:t>VaR</w:t>
            </w:r>
          </w:p>
        </w:tc>
        <w:tc>
          <w:tcPr>
            <w:tcW w:w="4675" w:type="dxa"/>
            <w:vAlign w:val="bottom"/>
          </w:tcPr>
          <w:p w14:paraId="282744AD" w14:textId="77777777" w:rsidR="00225793" w:rsidRDefault="00225793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0.2622</w:t>
            </w:r>
          </w:p>
        </w:tc>
      </w:tr>
      <w:tr w:rsidR="00225793" w14:paraId="38551193" w14:textId="77777777" w:rsidTr="005A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25CC16" w14:textId="77777777" w:rsidR="00225793" w:rsidRPr="008B79F3" w:rsidRDefault="00225793" w:rsidP="005A402C">
            <w:pPr>
              <w:rPr>
                <w:b w:val="0"/>
              </w:rPr>
            </w:pPr>
            <w:r w:rsidRPr="008B79F3">
              <w:rPr>
                <w:b w:val="0"/>
              </w:rPr>
              <w:t>Marginal VaR</w:t>
            </w:r>
          </w:p>
        </w:tc>
        <w:tc>
          <w:tcPr>
            <w:tcW w:w="4675" w:type="dxa"/>
            <w:vAlign w:val="bottom"/>
          </w:tcPr>
          <w:p w14:paraId="23135949" w14:textId="77777777" w:rsidR="00225793" w:rsidRDefault="00225793" w:rsidP="005A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-0.1088</w:t>
            </w:r>
          </w:p>
        </w:tc>
      </w:tr>
    </w:tbl>
    <w:p w14:paraId="104FD2E1" w14:textId="77777777" w:rsidR="00462F6A" w:rsidRDefault="00462F6A" w:rsidP="00462F6A"/>
    <w:p w14:paraId="2A20F4C1" w14:textId="77777777" w:rsidR="00225793" w:rsidRPr="00462F6A" w:rsidRDefault="00225793" w:rsidP="00462F6A"/>
    <w:p w14:paraId="56BB5C9E" w14:textId="0A7D088B" w:rsidR="00895AF6" w:rsidRPr="00164FB2" w:rsidRDefault="003D2B93" w:rsidP="00895AF6">
      <w:pPr>
        <w:rPr>
          <w:b/>
        </w:rPr>
      </w:pPr>
      <w:r>
        <w:rPr>
          <w:rFonts w:hint="eastAsia"/>
          <w:b/>
        </w:rPr>
        <w:t>Portfolio Volatility</w:t>
      </w:r>
    </w:p>
    <w:p w14:paraId="05FF2EA8" w14:textId="1778B369" w:rsidR="001B68F0" w:rsidRDefault="00E46421" w:rsidP="001B68F0">
      <w:r>
        <w:rPr>
          <w:noProof/>
        </w:rPr>
        <w:drawing>
          <wp:inline distT="0" distB="0" distL="0" distR="0" wp14:anchorId="0C8785E9" wp14:editId="776007A2">
            <wp:extent cx="5880735" cy="2336937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4D5102" w14:textId="77777777" w:rsidR="008B79F3" w:rsidRDefault="008B79F3" w:rsidP="001B68F0"/>
    <w:p w14:paraId="6A125690" w14:textId="77777777" w:rsidR="00B940AC" w:rsidRDefault="00B940AC" w:rsidP="00BB6F9B">
      <w:pPr>
        <w:pStyle w:val="Heading1"/>
      </w:pPr>
    </w:p>
    <w:p w14:paraId="67797799" w14:textId="5C18FF75" w:rsidR="00B940AC" w:rsidRDefault="002A044C" w:rsidP="00B940AC">
      <w:pPr>
        <w:rPr>
          <w:b/>
        </w:rPr>
      </w:pPr>
      <w:r w:rsidRPr="002A044C">
        <w:rPr>
          <w:rFonts w:hint="eastAsia"/>
          <w:b/>
        </w:rPr>
        <w:t>95% Value at Risk (VaR)</w:t>
      </w:r>
    </w:p>
    <w:p w14:paraId="460D2004" w14:textId="3FE04280" w:rsidR="002A044C" w:rsidRPr="002A044C" w:rsidRDefault="00E46421" w:rsidP="00E46421">
      <w:pPr>
        <w:jc w:val="center"/>
        <w:rPr>
          <w:b/>
        </w:rPr>
      </w:pPr>
      <w:r>
        <w:rPr>
          <w:noProof/>
        </w:rPr>
        <w:drawing>
          <wp:inline distT="0" distB="0" distL="0" distR="0" wp14:anchorId="19640AF5" wp14:editId="286AD7F8">
            <wp:extent cx="5880735" cy="2147467"/>
            <wp:effectExtent l="0" t="0" r="12065" b="1206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D74E90" w14:textId="77777777" w:rsidR="00BB7E87" w:rsidRDefault="00BB7E87" w:rsidP="00BB6F9B">
      <w:pPr>
        <w:pStyle w:val="Heading1"/>
      </w:pPr>
    </w:p>
    <w:p w14:paraId="0397E263" w14:textId="77777777" w:rsidR="00F23422" w:rsidRDefault="00F23422" w:rsidP="002E42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0632F4" w14:textId="77777777" w:rsidR="00863DBD" w:rsidRPr="000025CE" w:rsidRDefault="00863DBD" w:rsidP="00863DBD">
      <w:pPr>
        <w:pStyle w:val="Heading1"/>
        <w:rPr>
          <w:sz w:val="36"/>
          <w:szCs w:val="36"/>
        </w:rPr>
      </w:pPr>
      <w:bookmarkStart w:id="10" w:name="_Toc518428627"/>
      <w:r w:rsidRPr="000025CE">
        <w:rPr>
          <w:sz w:val="36"/>
          <w:szCs w:val="36"/>
        </w:rPr>
        <w:t>Scenario Analysis for Economic Factors</w:t>
      </w:r>
    </w:p>
    <w:p w14:paraId="32DD89EA" w14:textId="77777777" w:rsidR="00863DBD" w:rsidRDefault="00863DBD" w:rsidP="00863DBD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863DBD" w14:paraId="73CFE511" w14:textId="77777777" w:rsidTr="0086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00B696" w14:textId="77777777" w:rsidR="00863DBD" w:rsidRDefault="00863DBD">
            <w:r>
              <w:t>U.S. Scenario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699DDD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DA0D6A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416516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863DBD" w14:paraId="162313FF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93A28F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GDP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CFF248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8EA60C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684F7C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63DBD" w14:paraId="4B9E3896" w14:textId="77777777" w:rsidTr="00863DB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C2CAAB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Unemployment Rate(%)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E5E253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728930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9E07CD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</w:tr>
      <w:tr w:rsidR="00863DBD" w14:paraId="2A0AFA17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EDA8AA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Inflation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6C30E4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9C57F8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E7A753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863DBD" w14:paraId="16AE6A09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28FD28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9848EDE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69C259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D51D03D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863DBD" w14:paraId="517FF7EA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26A5C0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B17F5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2.09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16FA047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646B95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</w:t>
            </w:r>
          </w:p>
        </w:tc>
      </w:tr>
      <w:tr w:rsidR="00863DBD" w14:paraId="65D5F121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56A79C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68D480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2.82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AD219E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2.73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EF928D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</w:t>
            </w:r>
          </w:p>
        </w:tc>
      </w:tr>
      <w:tr w:rsidR="00863DBD" w14:paraId="16D4DFB5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B906AE2" w14:textId="77777777" w:rsidR="00863DBD" w:rsidRDefault="00863DBD">
            <w:r>
              <w:t>Portfolio Return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4E614F85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-0.2729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06347EF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-0.2608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26F8189C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-0.2887</w:t>
            </w:r>
          </w:p>
        </w:tc>
      </w:tr>
    </w:tbl>
    <w:p w14:paraId="7F96DDB8" w14:textId="77777777" w:rsidR="00863DBD" w:rsidRDefault="00863DBD" w:rsidP="00863DBD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863DBD" w14:paraId="26FE206B" w14:textId="77777777" w:rsidTr="0086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C4DA2C" w14:textId="77777777" w:rsidR="00863DBD" w:rsidRDefault="00863DBD">
            <w:r>
              <w:t>Canada Scenario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FF2AD69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BF396C5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EBE6B2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863DBD" w14:paraId="35D53A8E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2E75F8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GDP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70A7C6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E13A5D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88B6AF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63DBD" w14:paraId="44D22E77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343167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Unemployment Rate(%)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5811C2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AE3B69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29EF67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</w:t>
            </w:r>
          </w:p>
        </w:tc>
      </w:tr>
      <w:tr w:rsidR="00863DBD" w14:paraId="108E1860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4D6239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Inflation (% change)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BDFA21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317A29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285D3E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863DBD" w14:paraId="3931DBC5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49D04D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C8E101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D6CC4B2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C2B8A2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863DBD" w14:paraId="525E4AFB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C8E1E4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D8ED30D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B4370CA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4AD1C4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</w:tr>
      <w:tr w:rsidR="00863DBD" w14:paraId="55E0F9EF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66F65EA" w14:textId="77777777" w:rsidR="00863DBD" w:rsidRDefault="00863DBD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AA5769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C405C8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1E8BA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</w:t>
            </w:r>
          </w:p>
        </w:tc>
      </w:tr>
      <w:tr w:rsidR="00863DBD" w14:paraId="6FDC9588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E1255C" w14:textId="77777777" w:rsidR="00863DBD" w:rsidRDefault="00863DBD">
            <w:r>
              <w:t>Portfolio Return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0263049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0.0726</w:t>
            </w:r>
          </w:p>
        </w:tc>
        <w:tc>
          <w:tcPr>
            <w:tcW w:w="22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2BB45B0B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0.0801</w:t>
            </w:r>
          </w:p>
        </w:tc>
        <w:tc>
          <w:tcPr>
            <w:tcW w:w="22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41157955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0.0722</w:t>
            </w:r>
          </w:p>
        </w:tc>
      </w:tr>
    </w:tbl>
    <w:p w14:paraId="7C617292" w14:textId="77777777" w:rsidR="00863DBD" w:rsidRDefault="00863DBD" w:rsidP="00863DBD"/>
    <w:p w14:paraId="5266198D" w14:textId="77777777" w:rsidR="00480D60" w:rsidRDefault="00480D60" w:rsidP="00863DBD">
      <w:pPr>
        <w:pStyle w:val="Heading1"/>
        <w:rPr>
          <w:sz w:val="36"/>
          <w:szCs w:val="36"/>
        </w:rPr>
      </w:pPr>
    </w:p>
    <w:p w14:paraId="41754818" w14:textId="77777777" w:rsidR="00863DBD" w:rsidRPr="000025CE" w:rsidRDefault="00863DBD" w:rsidP="00863DBD">
      <w:pPr>
        <w:pStyle w:val="Heading1"/>
        <w:rPr>
          <w:sz w:val="36"/>
          <w:szCs w:val="36"/>
        </w:rPr>
      </w:pPr>
      <w:r w:rsidRPr="000025CE">
        <w:rPr>
          <w:sz w:val="36"/>
          <w:szCs w:val="36"/>
        </w:rPr>
        <w:t>Stress Testing and Sensitivity Analysis</w:t>
      </w:r>
    </w:p>
    <w:p w14:paraId="1530E705" w14:textId="77777777" w:rsidR="00863DBD" w:rsidRDefault="00863DBD" w:rsidP="00863DBD">
      <w:bookmarkStart w:id="11" w:name="_GoBack"/>
      <w:bookmarkEnd w:id="11"/>
    </w:p>
    <w:p w14:paraId="101B6530" w14:textId="77777777" w:rsidR="00863DBD" w:rsidRDefault="00863DBD" w:rsidP="00863DBD">
      <w:r>
        <w:t>The return changes per economic factor is summarized below:</w:t>
      </w:r>
    </w:p>
    <w:tbl>
      <w:tblPr>
        <w:tblStyle w:val="GridTable1Light-Accent1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488"/>
        <w:gridCol w:w="1489"/>
        <w:gridCol w:w="1488"/>
        <w:gridCol w:w="1489"/>
        <w:gridCol w:w="1488"/>
        <w:gridCol w:w="1489"/>
      </w:tblGrid>
      <w:tr w:rsidR="00863DBD" w14:paraId="48923F45" w14:textId="77777777" w:rsidTr="0086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605A906" w14:textId="77777777" w:rsidR="00863DBD" w:rsidRDefault="00863DBD"/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3202B4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GDP (% change)</w:t>
            </w:r>
            <w:r>
              <w:tab/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9E7DB7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Unemployment Rate(%)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49DCE1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Inflation (% change)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6AB5FE9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Oil Price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78B1BA6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 Short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B09D60" w14:textId="77777777" w:rsidR="00863DBD" w:rsidRDefault="0086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 Long</w:t>
            </w:r>
          </w:p>
        </w:tc>
      </w:tr>
      <w:tr w:rsidR="00863DBD" w14:paraId="3691221B" w14:textId="77777777" w:rsidTr="008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D921A47" w14:textId="77777777" w:rsidR="00863DBD" w:rsidRDefault="00863DBD">
            <w:r>
              <w:t>Return changes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5906D1F6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0.00537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75B19EBC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0.00232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3A23805E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-0.00011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7F00698A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-0.00024</w:t>
            </w:r>
          </w:p>
        </w:tc>
        <w:tc>
          <w:tcPr>
            <w:tcW w:w="14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4DDDD9B4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0.00843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bottom"/>
            <w:hideMark/>
          </w:tcPr>
          <w:p w14:paraId="52F5B0EC" w14:textId="77777777" w:rsidR="00863DBD" w:rsidRDefault="00863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-0.00104</w:t>
            </w:r>
          </w:p>
        </w:tc>
      </w:tr>
    </w:tbl>
    <w:p w14:paraId="5F53FAAB" w14:textId="77777777" w:rsidR="00863DBD" w:rsidRDefault="00863DBD" w:rsidP="00863DBD"/>
    <w:p w14:paraId="2A0F0A66" w14:textId="77777777" w:rsidR="000025CE" w:rsidRDefault="000025CE" w:rsidP="00863DBD"/>
    <w:p w14:paraId="1E0EA93F" w14:textId="77777777" w:rsidR="000025CE" w:rsidRDefault="000025CE" w:rsidP="00863DBD"/>
    <w:p w14:paraId="337FA696" w14:textId="77777777" w:rsidR="000025CE" w:rsidRDefault="000025CE" w:rsidP="00863DBD"/>
    <w:p w14:paraId="14E4C180" w14:textId="77777777" w:rsidR="000025CE" w:rsidRDefault="000025CE" w:rsidP="000025CE">
      <w:pPr>
        <w:pStyle w:val="Heading1"/>
        <w:rPr>
          <w:sz w:val="36"/>
          <w:szCs w:val="36"/>
        </w:rPr>
      </w:pPr>
    </w:p>
    <w:p w14:paraId="0F0494F1" w14:textId="77777777" w:rsidR="000025CE" w:rsidRDefault="000025CE" w:rsidP="00863DB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22ED4E58" w14:textId="77777777" w:rsidR="00842E8D" w:rsidRPr="000025CE" w:rsidRDefault="00842E8D" w:rsidP="00842E8D">
      <w:pPr>
        <w:pStyle w:val="Heading1"/>
        <w:rPr>
          <w:sz w:val="36"/>
          <w:szCs w:val="36"/>
        </w:rPr>
      </w:pPr>
      <w:r w:rsidRPr="000025CE">
        <w:rPr>
          <w:sz w:val="36"/>
          <w:szCs w:val="36"/>
        </w:rPr>
        <w:t>Fee Summary</w:t>
      </w:r>
    </w:p>
    <w:p w14:paraId="03DF2724" w14:textId="77777777" w:rsidR="00842E8D" w:rsidRDefault="00842E8D" w:rsidP="00863DBD"/>
    <w:p w14:paraId="33C458C6" w14:textId="6C513784" w:rsidR="00863DBD" w:rsidRDefault="00D30B36" w:rsidP="00863DBD">
      <w:r>
        <w:rPr>
          <w:noProof/>
        </w:rPr>
        <w:drawing>
          <wp:inline distT="0" distB="0" distL="0" distR="0" wp14:anchorId="24806755" wp14:editId="6E187818">
            <wp:extent cx="5880735" cy="2170121"/>
            <wp:effectExtent l="0" t="0" r="1206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bookmarkEnd w:id="10"/>
    <w:p w14:paraId="5AE84FE9" w14:textId="3B51D6BE" w:rsidR="00720972" w:rsidRDefault="00720972" w:rsidP="001B68F0">
      <w:r>
        <w:t xml:space="preserve">Note: </w:t>
      </w:r>
      <w:r w:rsidR="00863DBD">
        <w:rPr>
          <w:rFonts w:hint="eastAsia"/>
          <w:sz w:val="21"/>
          <w:szCs w:val="21"/>
        </w:rPr>
        <w:t>Transaction Fee: $0.01 per share.</w:t>
      </w:r>
    </w:p>
    <w:p w14:paraId="5C55F1E0" w14:textId="77777777" w:rsidR="00980CFC" w:rsidRDefault="00980CFC" w:rsidP="001B68F0"/>
    <w:p w14:paraId="5F1AD145" w14:textId="77777777" w:rsidR="00980CFC" w:rsidRDefault="00980CFC" w:rsidP="001B68F0"/>
    <w:p w14:paraId="22DB373C" w14:textId="77777777" w:rsidR="00980CFC" w:rsidRDefault="00980CFC" w:rsidP="001B68F0"/>
    <w:p w14:paraId="4EE2B33E" w14:textId="77777777" w:rsidR="00980CFC" w:rsidRDefault="00980CFC" w:rsidP="001B68F0"/>
    <w:p w14:paraId="2EFFC36C" w14:textId="77777777" w:rsidR="00C3789B" w:rsidRDefault="00C3789B" w:rsidP="00980CFC">
      <w:pPr>
        <w:pStyle w:val="Heading1"/>
      </w:pPr>
    </w:p>
    <w:p w14:paraId="776C55F9" w14:textId="122B2261" w:rsidR="00980CFC" w:rsidRPr="000025CE" w:rsidRDefault="00980CFC" w:rsidP="00980CFC">
      <w:pPr>
        <w:pStyle w:val="Heading1"/>
        <w:rPr>
          <w:sz w:val="36"/>
          <w:szCs w:val="36"/>
        </w:rPr>
      </w:pPr>
      <w:bookmarkStart w:id="12" w:name="_Toc518428630"/>
      <w:r w:rsidRPr="000025CE">
        <w:rPr>
          <w:rFonts w:hint="eastAsia"/>
          <w:sz w:val="36"/>
          <w:szCs w:val="36"/>
        </w:rPr>
        <w:t>Note</w:t>
      </w:r>
      <w:bookmarkEnd w:id="12"/>
    </w:p>
    <w:p w14:paraId="6FBA98DC" w14:textId="2C1791F7" w:rsidR="00980CFC" w:rsidRDefault="001E34D6" w:rsidP="00980CFC">
      <w:pPr>
        <w:pStyle w:val="p1"/>
        <w:rPr>
          <w:sz w:val="21"/>
          <w:szCs w:val="21"/>
        </w:rPr>
      </w:pPr>
      <w:r w:rsidRPr="001E34D6">
        <w:rPr>
          <w:sz w:val="21"/>
          <w:szCs w:val="21"/>
        </w:rPr>
        <w:t>1.</w:t>
      </w:r>
      <w:r w:rsidR="00980CFC" w:rsidRPr="001E34D6">
        <w:rPr>
          <w:sz w:val="21"/>
          <w:szCs w:val="21"/>
        </w:rPr>
        <w:t xml:space="preserve">The Net Asset Value (NAV) consists of all positions by asset class (stock, bonds, </w:t>
      </w:r>
      <w:r>
        <w:rPr>
          <w:rFonts w:hint="eastAsia"/>
          <w:sz w:val="21"/>
          <w:szCs w:val="21"/>
        </w:rPr>
        <w:t xml:space="preserve">commodity, </w:t>
      </w:r>
      <w:r w:rsidR="00980CFC" w:rsidRPr="001E34D6">
        <w:rPr>
          <w:sz w:val="21"/>
          <w:szCs w:val="21"/>
        </w:rPr>
        <w:t>cash, etc.). All non-base currency amounts are converted to the base</w:t>
      </w:r>
      <w:r>
        <w:rPr>
          <w:rFonts w:hint="eastAsia"/>
          <w:sz w:val="21"/>
          <w:szCs w:val="21"/>
        </w:rPr>
        <w:t xml:space="preserve"> </w:t>
      </w:r>
      <w:r w:rsidR="00980CFC" w:rsidRPr="001E34D6">
        <w:rPr>
          <w:sz w:val="21"/>
          <w:szCs w:val="21"/>
        </w:rPr>
        <w:t>currency at the close of period rate.</w:t>
      </w:r>
    </w:p>
    <w:p w14:paraId="1F478CF8" w14:textId="11D819B4" w:rsidR="001E34D6" w:rsidRDefault="001E34D6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The base currency is </w:t>
      </w:r>
      <w:r>
        <w:rPr>
          <w:sz w:val="21"/>
          <w:szCs w:val="21"/>
        </w:rPr>
        <w:t>Canadian</w:t>
      </w:r>
      <w:r>
        <w:rPr>
          <w:rFonts w:hint="eastAsia"/>
          <w:sz w:val="21"/>
          <w:szCs w:val="21"/>
        </w:rPr>
        <w:t xml:space="preserve"> dollar.</w:t>
      </w:r>
    </w:p>
    <w:p w14:paraId="2609CBF2" w14:textId="303A1B6B" w:rsidR="00C36A9C" w:rsidRDefault="00C36A9C" w:rsidP="00980CFC">
      <w:pPr>
        <w:pStyle w:val="p1"/>
        <w:rPr>
          <w:sz w:val="21"/>
          <w:szCs w:val="21"/>
        </w:rPr>
      </w:pPr>
      <w:r w:rsidRPr="00C36A9C">
        <w:rPr>
          <w:sz w:val="21"/>
          <w:szCs w:val="21"/>
        </w:rPr>
        <w:t xml:space="preserve">3. </w:t>
      </w:r>
      <w:r>
        <w:rPr>
          <w:sz w:val="21"/>
          <w:szCs w:val="21"/>
        </w:rPr>
        <w:t>As of June 1</w:t>
      </w:r>
      <w:r w:rsidRPr="00C36A9C">
        <w:rPr>
          <w:sz w:val="21"/>
          <w:szCs w:val="21"/>
        </w:rPr>
        <w:t>, 2018 the US 3 Month Treasury Bill was 1.90%. This was the risk free rate used to calculate the Sharpe ratio.</w:t>
      </w:r>
    </w:p>
    <w:p w14:paraId="044D3AC5" w14:textId="592AA581" w:rsidR="0038084C" w:rsidRDefault="0038084C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4. Transaction Fee: $0.01 per share.</w:t>
      </w:r>
    </w:p>
    <w:p w14:paraId="403A9D2E" w14:textId="25BACD49" w:rsidR="003F4AF7" w:rsidRPr="003F4AF7" w:rsidRDefault="00CE5A6D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3F4AF7">
        <w:rPr>
          <w:rFonts w:hint="eastAsia"/>
          <w:sz w:val="21"/>
          <w:szCs w:val="21"/>
        </w:rPr>
        <w:t xml:space="preserve">. The benchmark is </w:t>
      </w:r>
      <w:r w:rsidR="008D7467">
        <w:rPr>
          <w:rFonts w:hint="eastAsia"/>
          <w:sz w:val="21"/>
          <w:szCs w:val="21"/>
        </w:rPr>
        <w:t>calculated by</w:t>
      </w:r>
      <w:r w:rsidR="003F4AF7">
        <w:rPr>
          <w:rFonts w:hint="eastAsia"/>
          <w:sz w:val="21"/>
          <w:szCs w:val="21"/>
        </w:rPr>
        <w:t xml:space="preserve"> </w:t>
      </w:r>
      <w:r w:rsidR="008D7467">
        <w:rPr>
          <w:rFonts w:hint="eastAsia"/>
          <w:sz w:val="21"/>
          <w:szCs w:val="21"/>
        </w:rPr>
        <w:t xml:space="preserve">using S&amp;P index, </w:t>
      </w:r>
      <w:r w:rsidR="003F4AF7">
        <w:rPr>
          <w:rFonts w:hint="eastAsia"/>
          <w:sz w:val="21"/>
          <w:szCs w:val="21"/>
        </w:rPr>
        <w:t>us core bond index</w:t>
      </w:r>
      <w:r w:rsidR="008D7467">
        <w:rPr>
          <w:rFonts w:hint="eastAsia"/>
          <w:sz w:val="21"/>
          <w:szCs w:val="21"/>
        </w:rPr>
        <w:t xml:space="preserve"> and </w:t>
      </w:r>
      <w:r w:rsidR="006D3FA8">
        <w:rPr>
          <w:sz w:val="21"/>
          <w:szCs w:val="21"/>
        </w:rPr>
        <w:t>Canada</w:t>
      </w:r>
      <w:r w:rsidR="008D7467">
        <w:rPr>
          <w:rFonts w:hint="eastAsia"/>
          <w:sz w:val="21"/>
          <w:szCs w:val="21"/>
        </w:rPr>
        <w:t xml:space="preserve"> aggregate bond index</w:t>
      </w:r>
      <w:r w:rsidR="00EB6351">
        <w:rPr>
          <w:rFonts w:hint="eastAsia"/>
          <w:sz w:val="21"/>
          <w:szCs w:val="21"/>
        </w:rPr>
        <w:t>.</w:t>
      </w:r>
    </w:p>
    <w:p w14:paraId="40F89610" w14:textId="736EF83E" w:rsidR="00C36A9C" w:rsidRPr="001E34D6" w:rsidRDefault="00CE5A6D" w:rsidP="00980CFC">
      <w:pPr>
        <w:pStyle w:val="p1"/>
        <w:rPr>
          <w:sz w:val="21"/>
          <w:szCs w:val="21"/>
        </w:rPr>
      </w:pPr>
      <w:r>
        <w:rPr>
          <w:sz w:val="21"/>
          <w:szCs w:val="21"/>
        </w:rPr>
        <w:t>6</w:t>
      </w:r>
      <w:r w:rsidR="006B748D">
        <w:rPr>
          <w:sz w:val="21"/>
          <w:szCs w:val="21"/>
        </w:rPr>
        <w:t>.</w:t>
      </w:r>
      <w:r w:rsidR="00980CFC" w:rsidRPr="001E34D6">
        <w:rPr>
          <w:sz w:val="21"/>
          <w:szCs w:val="21"/>
        </w:rPr>
        <w:t xml:space="preserve"> Price valuations are obtained from outside parties. </w:t>
      </w:r>
      <w:r w:rsidR="00027935">
        <w:rPr>
          <w:rFonts w:hint="eastAsia"/>
          <w:sz w:val="21"/>
          <w:szCs w:val="21"/>
        </w:rPr>
        <w:t>Manager</w:t>
      </w:r>
      <w:r w:rsidR="00980CFC" w:rsidRPr="001E34D6">
        <w:rPr>
          <w:sz w:val="21"/>
          <w:szCs w:val="21"/>
        </w:rPr>
        <w:t xml:space="preserve"> have no responsibility for the accuracy or timeliness of any such price valuation.</w:t>
      </w:r>
    </w:p>
    <w:p w14:paraId="1D91CB1C" w14:textId="77777777" w:rsidR="00980CFC" w:rsidRPr="001E34D6" w:rsidRDefault="00980CFC" w:rsidP="001B68F0">
      <w:pPr>
        <w:rPr>
          <w:sz w:val="21"/>
          <w:szCs w:val="21"/>
        </w:rPr>
      </w:pPr>
    </w:p>
    <w:sectPr w:rsidR="00980CFC" w:rsidRPr="001E34D6" w:rsidSect="00351FEA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79D7D" w14:textId="77777777" w:rsidR="009470AD" w:rsidRDefault="009470AD" w:rsidP="00F76494">
      <w:r>
        <w:separator/>
      </w:r>
    </w:p>
  </w:endnote>
  <w:endnote w:type="continuationSeparator" w:id="0">
    <w:p w14:paraId="6B15FB94" w14:textId="77777777" w:rsidR="009470AD" w:rsidRDefault="009470AD" w:rsidP="00F7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91EAA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DBB262" w14:textId="77777777" w:rsidR="00D56017" w:rsidRDefault="00D56017" w:rsidP="00D5601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A4E34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290A">
      <w:rPr>
        <w:rStyle w:val="PageNumber"/>
        <w:noProof/>
      </w:rPr>
      <w:t>7</w:t>
    </w:r>
    <w:r>
      <w:rPr>
        <w:rStyle w:val="PageNumber"/>
      </w:rPr>
      <w:fldChar w:fldCharType="end"/>
    </w:r>
  </w:p>
  <w:p w14:paraId="62D29FE3" w14:textId="77777777" w:rsidR="00D56017" w:rsidRDefault="00D56017" w:rsidP="00D56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AD305" w14:textId="77777777" w:rsidR="009470AD" w:rsidRDefault="009470AD" w:rsidP="00F76494">
      <w:r>
        <w:separator/>
      </w:r>
    </w:p>
  </w:footnote>
  <w:footnote w:type="continuationSeparator" w:id="0">
    <w:p w14:paraId="131E9D28" w14:textId="77777777" w:rsidR="009470AD" w:rsidRDefault="009470AD" w:rsidP="00F76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80"/>
    <w:rsid w:val="00001726"/>
    <w:rsid w:val="000025CE"/>
    <w:rsid w:val="000039F4"/>
    <w:rsid w:val="00015345"/>
    <w:rsid w:val="00015A30"/>
    <w:rsid w:val="00027935"/>
    <w:rsid w:val="00032932"/>
    <w:rsid w:val="0003453A"/>
    <w:rsid w:val="0003456B"/>
    <w:rsid w:val="00042D63"/>
    <w:rsid w:val="00053496"/>
    <w:rsid w:val="00057979"/>
    <w:rsid w:val="00080314"/>
    <w:rsid w:val="00090607"/>
    <w:rsid w:val="00094291"/>
    <w:rsid w:val="000A2FBF"/>
    <w:rsid w:val="000C0C29"/>
    <w:rsid w:val="000E4834"/>
    <w:rsid w:val="00120D45"/>
    <w:rsid w:val="00135D4B"/>
    <w:rsid w:val="0015492F"/>
    <w:rsid w:val="00164FB2"/>
    <w:rsid w:val="00195147"/>
    <w:rsid w:val="001B68F0"/>
    <w:rsid w:val="001C348F"/>
    <w:rsid w:val="001E34D6"/>
    <w:rsid w:val="001F20D9"/>
    <w:rsid w:val="001F53AA"/>
    <w:rsid w:val="00225793"/>
    <w:rsid w:val="0023370A"/>
    <w:rsid w:val="00247A26"/>
    <w:rsid w:val="002537A5"/>
    <w:rsid w:val="002553F9"/>
    <w:rsid w:val="0027144D"/>
    <w:rsid w:val="00276FBB"/>
    <w:rsid w:val="00280032"/>
    <w:rsid w:val="00281CFC"/>
    <w:rsid w:val="00285AF8"/>
    <w:rsid w:val="002A044C"/>
    <w:rsid w:val="002B159A"/>
    <w:rsid w:val="002C38B4"/>
    <w:rsid w:val="002E4267"/>
    <w:rsid w:val="002E7CD4"/>
    <w:rsid w:val="00311C3A"/>
    <w:rsid w:val="00331FC8"/>
    <w:rsid w:val="00351FEA"/>
    <w:rsid w:val="00373743"/>
    <w:rsid w:val="0038084C"/>
    <w:rsid w:val="00393C26"/>
    <w:rsid w:val="003A55BB"/>
    <w:rsid w:val="003A79CD"/>
    <w:rsid w:val="003A7A42"/>
    <w:rsid w:val="003D2B93"/>
    <w:rsid w:val="003D7F21"/>
    <w:rsid w:val="003F4AF7"/>
    <w:rsid w:val="00404FEC"/>
    <w:rsid w:val="00427777"/>
    <w:rsid w:val="00450512"/>
    <w:rsid w:val="00451C01"/>
    <w:rsid w:val="004541AD"/>
    <w:rsid w:val="004570DF"/>
    <w:rsid w:val="00462F6A"/>
    <w:rsid w:val="00467D56"/>
    <w:rsid w:val="004736BE"/>
    <w:rsid w:val="004741A6"/>
    <w:rsid w:val="00480D60"/>
    <w:rsid w:val="00483A82"/>
    <w:rsid w:val="004A46EB"/>
    <w:rsid w:val="004C372F"/>
    <w:rsid w:val="00513697"/>
    <w:rsid w:val="00533BEB"/>
    <w:rsid w:val="00544A89"/>
    <w:rsid w:val="00550975"/>
    <w:rsid w:val="00553CF0"/>
    <w:rsid w:val="00560813"/>
    <w:rsid w:val="005655B6"/>
    <w:rsid w:val="005830B5"/>
    <w:rsid w:val="005A1171"/>
    <w:rsid w:val="005A1EEE"/>
    <w:rsid w:val="005F71D0"/>
    <w:rsid w:val="00601E33"/>
    <w:rsid w:val="0060608C"/>
    <w:rsid w:val="006303F9"/>
    <w:rsid w:val="0064680A"/>
    <w:rsid w:val="0065038F"/>
    <w:rsid w:val="00652E99"/>
    <w:rsid w:val="00654E76"/>
    <w:rsid w:val="00660B80"/>
    <w:rsid w:val="00660D1A"/>
    <w:rsid w:val="006736EA"/>
    <w:rsid w:val="006A4119"/>
    <w:rsid w:val="006B748D"/>
    <w:rsid w:val="006C27C9"/>
    <w:rsid w:val="006C585A"/>
    <w:rsid w:val="006D3FA8"/>
    <w:rsid w:val="006D7888"/>
    <w:rsid w:val="006E6391"/>
    <w:rsid w:val="00720972"/>
    <w:rsid w:val="007235C7"/>
    <w:rsid w:val="00766A9F"/>
    <w:rsid w:val="00786173"/>
    <w:rsid w:val="00790E8D"/>
    <w:rsid w:val="007B1363"/>
    <w:rsid w:val="007B1FD8"/>
    <w:rsid w:val="007B2D59"/>
    <w:rsid w:val="007C0D31"/>
    <w:rsid w:val="007C3C1F"/>
    <w:rsid w:val="007C72B2"/>
    <w:rsid w:val="007D5475"/>
    <w:rsid w:val="007D708F"/>
    <w:rsid w:val="007E2B4C"/>
    <w:rsid w:val="007E2BAC"/>
    <w:rsid w:val="007F62C3"/>
    <w:rsid w:val="00804FC7"/>
    <w:rsid w:val="0080761D"/>
    <w:rsid w:val="00814B74"/>
    <w:rsid w:val="00820117"/>
    <w:rsid w:val="00824EBB"/>
    <w:rsid w:val="00842E8D"/>
    <w:rsid w:val="00855A9C"/>
    <w:rsid w:val="00856F32"/>
    <w:rsid w:val="00863DBD"/>
    <w:rsid w:val="00895AF6"/>
    <w:rsid w:val="008A1EFA"/>
    <w:rsid w:val="008B79F3"/>
    <w:rsid w:val="008D4112"/>
    <w:rsid w:val="008D7467"/>
    <w:rsid w:val="00927C6C"/>
    <w:rsid w:val="009470AD"/>
    <w:rsid w:val="00950BEB"/>
    <w:rsid w:val="00966315"/>
    <w:rsid w:val="00967446"/>
    <w:rsid w:val="00980CFC"/>
    <w:rsid w:val="009E3213"/>
    <w:rsid w:val="009E5327"/>
    <w:rsid w:val="00A042DF"/>
    <w:rsid w:val="00A54CA8"/>
    <w:rsid w:val="00A6310D"/>
    <w:rsid w:val="00A801D5"/>
    <w:rsid w:val="00A822A9"/>
    <w:rsid w:val="00A856DC"/>
    <w:rsid w:val="00A91B00"/>
    <w:rsid w:val="00A94492"/>
    <w:rsid w:val="00A95853"/>
    <w:rsid w:val="00A95F32"/>
    <w:rsid w:val="00AB75E8"/>
    <w:rsid w:val="00AB7B88"/>
    <w:rsid w:val="00AF7076"/>
    <w:rsid w:val="00B06510"/>
    <w:rsid w:val="00B06B3E"/>
    <w:rsid w:val="00B07D75"/>
    <w:rsid w:val="00B159D2"/>
    <w:rsid w:val="00B2264D"/>
    <w:rsid w:val="00B23B0B"/>
    <w:rsid w:val="00B30080"/>
    <w:rsid w:val="00B450FE"/>
    <w:rsid w:val="00B52D50"/>
    <w:rsid w:val="00B732A7"/>
    <w:rsid w:val="00B930D2"/>
    <w:rsid w:val="00B940AC"/>
    <w:rsid w:val="00BB6F9B"/>
    <w:rsid w:val="00BB7E87"/>
    <w:rsid w:val="00BD5792"/>
    <w:rsid w:val="00BE3462"/>
    <w:rsid w:val="00C00BCD"/>
    <w:rsid w:val="00C11C28"/>
    <w:rsid w:val="00C2402C"/>
    <w:rsid w:val="00C36A9C"/>
    <w:rsid w:val="00C3789B"/>
    <w:rsid w:val="00C459CA"/>
    <w:rsid w:val="00C62215"/>
    <w:rsid w:val="00C7034A"/>
    <w:rsid w:val="00CB5E3A"/>
    <w:rsid w:val="00CD7E19"/>
    <w:rsid w:val="00CE209E"/>
    <w:rsid w:val="00CE4405"/>
    <w:rsid w:val="00CE5A6D"/>
    <w:rsid w:val="00CE7A69"/>
    <w:rsid w:val="00CF00F5"/>
    <w:rsid w:val="00D17826"/>
    <w:rsid w:val="00D30B36"/>
    <w:rsid w:val="00D34732"/>
    <w:rsid w:val="00D412D3"/>
    <w:rsid w:val="00D43805"/>
    <w:rsid w:val="00D44523"/>
    <w:rsid w:val="00D54C6E"/>
    <w:rsid w:val="00D56017"/>
    <w:rsid w:val="00D605D9"/>
    <w:rsid w:val="00D60690"/>
    <w:rsid w:val="00D6216B"/>
    <w:rsid w:val="00D807E8"/>
    <w:rsid w:val="00D87713"/>
    <w:rsid w:val="00D90D7E"/>
    <w:rsid w:val="00D955F9"/>
    <w:rsid w:val="00E45272"/>
    <w:rsid w:val="00E46421"/>
    <w:rsid w:val="00E53817"/>
    <w:rsid w:val="00E6688A"/>
    <w:rsid w:val="00EA2D1D"/>
    <w:rsid w:val="00EB6351"/>
    <w:rsid w:val="00ED0E32"/>
    <w:rsid w:val="00EE25B3"/>
    <w:rsid w:val="00EF34DD"/>
    <w:rsid w:val="00EF76C4"/>
    <w:rsid w:val="00F1605F"/>
    <w:rsid w:val="00F22EFA"/>
    <w:rsid w:val="00F23422"/>
    <w:rsid w:val="00F3290A"/>
    <w:rsid w:val="00F4143F"/>
    <w:rsid w:val="00F71349"/>
    <w:rsid w:val="00F7226B"/>
    <w:rsid w:val="00F76494"/>
    <w:rsid w:val="00F77643"/>
    <w:rsid w:val="00F876FF"/>
    <w:rsid w:val="00F91688"/>
    <w:rsid w:val="00F94C5D"/>
    <w:rsid w:val="00FA3F9B"/>
    <w:rsid w:val="00FA74F4"/>
    <w:rsid w:val="00FB6158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0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B8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0B80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60B8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0B80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351FE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1FEA"/>
    <w:rPr>
      <w:sz w:val="22"/>
      <w:szCs w:val="22"/>
    </w:rPr>
  </w:style>
  <w:style w:type="table" w:styleId="GridTable1Light-Accent1">
    <w:name w:val="Grid Table 1 Light Accent 1"/>
    <w:basedOn w:val="TableNormal"/>
    <w:uiPriority w:val="46"/>
    <w:rsid w:val="002E426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34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135D4B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494"/>
  </w:style>
  <w:style w:type="paragraph" w:styleId="Footer">
    <w:name w:val="footer"/>
    <w:basedOn w:val="Normal"/>
    <w:link w:val="Foot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94"/>
  </w:style>
  <w:style w:type="character" w:styleId="Hyperlink">
    <w:name w:val="Hyperlink"/>
    <w:basedOn w:val="DefaultParagraphFont"/>
    <w:uiPriority w:val="99"/>
    <w:unhideWhenUsed/>
    <w:rsid w:val="00F7649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56017"/>
  </w:style>
  <w:style w:type="paragraph" w:customStyle="1" w:styleId="p1">
    <w:name w:val="p1"/>
    <w:basedOn w:val="Normal"/>
    <w:rsid w:val="00980CFC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Users/rongwang/Desktop/PLO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shane/Downloads/MMF/MMF2025/performanc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Users/shane/Downloads/MMF/MMF2025/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rongwang/Desktop/PLO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shane/Downloads/MMF/MMF2025/PLO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shane/Downloads/MMF/MMF2025/PLO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/Users/rongwang/Desktop/PLO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/Users/rongwang/Desktop/PLO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shane/Downloads/MMF/MMF2025/PL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shane/Downloads/MMF/MMF2025/PLO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shane/Downloads/MMF/MMF2025/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Special </a:t>
            </a: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Portfolio</a:t>
            </a:r>
            <a:r>
              <a:rPr lang="zh-CN" alt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</a:t>
            </a:r>
            <a:r>
              <a:rPr lang="en-US" altLang="zh-CN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Monthly</a:t>
            </a: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</a:t>
            </a:r>
            <a:r>
              <a:rPr lang="en-US" altLang="zh-CN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R</a:t>
            </a:r>
            <a:r>
              <a:rPr lang="en-US" sz="16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eturn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return_high!$A$2:$A$30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return_high!$B$2:$B$30</c:f>
              <c:numCache>
                <c:formatCode>General</c:formatCode>
                <c:ptCount val="29"/>
                <c:pt idx="0" formatCode="0.00E+00">
                  <c:v>-0.0109547213410798</c:v>
                </c:pt>
                <c:pt idx="1">
                  <c:v>0.0020635558160287</c:v>
                </c:pt>
                <c:pt idx="2">
                  <c:v>0.0035176674685927</c:v>
                </c:pt>
                <c:pt idx="3">
                  <c:v>-0.000359264023507676</c:v>
                </c:pt>
                <c:pt idx="4">
                  <c:v>-0.0475257959465523</c:v>
                </c:pt>
                <c:pt idx="5">
                  <c:v>0.0368251942313729</c:v>
                </c:pt>
                <c:pt idx="6">
                  <c:v>-0.00791774734788162</c:v>
                </c:pt>
                <c:pt idx="7">
                  <c:v>0.0293141742236175</c:v>
                </c:pt>
                <c:pt idx="8">
                  <c:v>0.00834868149387236</c:v>
                </c:pt>
                <c:pt idx="9">
                  <c:v>0.0192815059395515</c:v>
                </c:pt>
                <c:pt idx="10">
                  <c:v>-0.0157988497034929</c:v>
                </c:pt>
                <c:pt idx="11">
                  <c:v>-0.0411527350244335</c:v>
                </c:pt>
                <c:pt idx="12">
                  <c:v>0.0537688801234362</c:v>
                </c:pt>
                <c:pt idx="13">
                  <c:v>0.0260063843126325</c:v>
                </c:pt>
                <c:pt idx="14">
                  <c:v>0.037822575410722</c:v>
                </c:pt>
                <c:pt idx="15">
                  <c:v>0.0212722379438422</c:v>
                </c:pt>
                <c:pt idx="16">
                  <c:v>0.0499539093849173</c:v>
                </c:pt>
                <c:pt idx="17">
                  <c:v>0.0256716249999943</c:v>
                </c:pt>
                <c:pt idx="18">
                  <c:v>-0.0181447453948515</c:v>
                </c:pt>
                <c:pt idx="19">
                  <c:v>0.0137967080396846</c:v>
                </c:pt>
                <c:pt idx="20">
                  <c:v>0.0252456601633784</c:v>
                </c:pt>
                <c:pt idx="21">
                  <c:v>0.0128290322331632</c:v>
                </c:pt>
                <c:pt idx="22">
                  <c:v>0.0770279561838881</c:v>
                </c:pt>
                <c:pt idx="23">
                  <c:v>-0.00101520572424529</c:v>
                </c:pt>
                <c:pt idx="24">
                  <c:v>-0.0169348717370952</c:v>
                </c:pt>
                <c:pt idx="25">
                  <c:v>0.0574331593966165</c:v>
                </c:pt>
                <c:pt idx="26">
                  <c:v>-0.0365944802151156</c:v>
                </c:pt>
                <c:pt idx="27">
                  <c:v>-0.00300752685814768</c:v>
                </c:pt>
                <c:pt idx="28">
                  <c:v>-0.0233883677591754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326952192"/>
        <c:axId val="-321820704"/>
      </c:barChart>
      <c:dateAx>
        <c:axId val="-326952192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1820704"/>
        <c:crosses val="autoZero"/>
        <c:auto val="1"/>
        <c:lblOffset val="100"/>
        <c:baseTimeUnit val="months"/>
      </c:dateAx>
      <c:valAx>
        <c:axId val="-3218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695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95%</a:t>
            </a:r>
            <a:r>
              <a:rPr lang="zh-CN" altLang="en-US"/>
              <a:t> </a:t>
            </a:r>
            <a:r>
              <a:rPr lang="en-US" altLang="zh-CN"/>
              <a:t>VaR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special!$T$1</c:f>
              <c:strCache>
                <c:ptCount val="1"/>
                <c:pt idx="0">
                  <c:v>VaR_porf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mid!$Z$2:$Z$30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special!$T$2:$T$30</c:f>
              <c:numCache>
                <c:formatCode>General</c:formatCode>
                <c:ptCount val="29"/>
                <c:pt idx="0">
                  <c:v>0.0905289073299546</c:v>
                </c:pt>
                <c:pt idx="1">
                  <c:v>0.0911384233099867</c:v>
                </c:pt>
                <c:pt idx="2">
                  <c:v>0.0886303945922008</c:v>
                </c:pt>
                <c:pt idx="3">
                  <c:v>0.0864947465161123</c:v>
                </c:pt>
                <c:pt idx="4">
                  <c:v>0.0794087347193532</c:v>
                </c:pt>
                <c:pt idx="5">
                  <c:v>0.0801242532400463</c:v>
                </c:pt>
                <c:pt idx="6">
                  <c:v>0.0755130805687544</c:v>
                </c:pt>
                <c:pt idx="7">
                  <c:v>0.077405848238558</c:v>
                </c:pt>
                <c:pt idx="8">
                  <c:v>0.0771287038019555</c:v>
                </c:pt>
                <c:pt idx="9">
                  <c:v>0.0765809412084371</c:v>
                </c:pt>
                <c:pt idx="10">
                  <c:v>0.0781106070718579</c:v>
                </c:pt>
                <c:pt idx="11">
                  <c:v>0.0781298489616926</c:v>
                </c:pt>
                <c:pt idx="12">
                  <c:v>0.0806069749839642</c:v>
                </c:pt>
                <c:pt idx="13">
                  <c:v>0.0810499902567463</c:v>
                </c:pt>
                <c:pt idx="14">
                  <c:v>0.0807140504804126</c:v>
                </c:pt>
                <c:pt idx="15">
                  <c:v>0.0791952723936627</c:v>
                </c:pt>
                <c:pt idx="16">
                  <c:v>0.0730037979623686</c:v>
                </c:pt>
                <c:pt idx="17">
                  <c:v>0.0748755962714661</c:v>
                </c:pt>
                <c:pt idx="18">
                  <c:v>0.075828691089395</c:v>
                </c:pt>
                <c:pt idx="19">
                  <c:v>0.0763321280618446</c:v>
                </c:pt>
                <c:pt idx="20">
                  <c:v>0.0773764668109344</c:v>
                </c:pt>
                <c:pt idx="21">
                  <c:v>0.0765643059071528</c:v>
                </c:pt>
                <c:pt idx="22">
                  <c:v>0.0790783596841544</c:v>
                </c:pt>
                <c:pt idx="23">
                  <c:v>0.0811027754360035</c:v>
                </c:pt>
                <c:pt idx="24">
                  <c:v>0.08283628440178</c:v>
                </c:pt>
                <c:pt idx="25">
                  <c:v>0.0840891192869881</c:v>
                </c:pt>
                <c:pt idx="26">
                  <c:v>0.0856534916143494</c:v>
                </c:pt>
                <c:pt idx="27">
                  <c:v>0.0849780900070901</c:v>
                </c:pt>
                <c:pt idx="28">
                  <c:v>0.0756974989846777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20564848"/>
        <c:axId val="-320561664"/>
      </c:lineChart>
      <c:dateAx>
        <c:axId val="-320564848"/>
        <c:scaling>
          <c:orientation val="minMax"/>
        </c:scaling>
        <c:delete val="0"/>
        <c:axPos val="b"/>
        <c:numFmt formatCode="[$-409]m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0561664"/>
        <c:crosses val="autoZero"/>
        <c:auto val="1"/>
        <c:lblOffset val="100"/>
        <c:baseTimeUnit val="months"/>
        <c:majorUnit val="2.0"/>
        <c:majorTimeUnit val="months"/>
      </c:dateAx>
      <c:valAx>
        <c:axId val="-320561664"/>
        <c:scaling>
          <c:orientation val="minMax"/>
          <c:min val="0.04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056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special!$AC$1</c:f>
              <c:strCache>
                <c:ptCount val="1"/>
                <c:pt idx="0">
                  <c:v>Portfolio Transaction Costs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special!$Z$2:$Z$30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special!$AC$2:$AC$30</c:f>
              <c:numCache>
                <c:formatCode>General</c:formatCode>
                <c:ptCount val="29"/>
                <c:pt idx="0">
                  <c:v>252.9242738593152</c:v>
                </c:pt>
                <c:pt idx="1">
                  <c:v>13.4776406176551</c:v>
                </c:pt>
                <c:pt idx="2">
                  <c:v>45.2395488691641</c:v>
                </c:pt>
                <c:pt idx="3">
                  <c:v>43.92669574338847</c:v>
                </c:pt>
                <c:pt idx="4">
                  <c:v>58.82777215646507</c:v>
                </c:pt>
                <c:pt idx="5">
                  <c:v>57.34079148225682</c:v>
                </c:pt>
                <c:pt idx="6">
                  <c:v>57.10296801630757</c:v>
                </c:pt>
                <c:pt idx="7">
                  <c:v>40.7613270835925</c:v>
                </c:pt>
                <c:pt idx="8">
                  <c:v>47.85316395284492</c:v>
                </c:pt>
                <c:pt idx="9">
                  <c:v>85.1176659400163</c:v>
                </c:pt>
                <c:pt idx="10">
                  <c:v>238.388195298698</c:v>
                </c:pt>
                <c:pt idx="11">
                  <c:v>204.6801043651028</c:v>
                </c:pt>
                <c:pt idx="12">
                  <c:v>88.35352605837087</c:v>
                </c:pt>
                <c:pt idx="13">
                  <c:v>43.05608973061062</c:v>
                </c:pt>
                <c:pt idx="14">
                  <c:v>70.22604178227444</c:v>
                </c:pt>
                <c:pt idx="15">
                  <c:v>45.41269041379734</c:v>
                </c:pt>
                <c:pt idx="16">
                  <c:v>33.99888508841455</c:v>
                </c:pt>
                <c:pt idx="17">
                  <c:v>25.73768265588551</c:v>
                </c:pt>
                <c:pt idx="18">
                  <c:v>32.0654722558263</c:v>
                </c:pt>
                <c:pt idx="19">
                  <c:v>22.75406342947626</c:v>
                </c:pt>
                <c:pt idx="20">
                  <c:v>48.1505684309517</c:v>
                </c:pt>
                <c:pt idx="21">
                  <c:v>22.4507011202978</c:v>
                </c:pt>
                <c:pt idx="22">
                  <c:v>32.73013766936096</c:v>
                </c:pt>
                <c:pt idx="23">
                  <c:v>54.8763249357798</c:v>
                </c:pt>
                <c:pt idx="24">
                  <c:v>60.37363821014693</c:v>
                </c:pt>
                <c:pt idx="25">
                  <c:v>70.15397243261675</c:v>
                </c:pt>
                <c:pt idx="26">
                  <c:v>70.79930098478722</c:v>
                </c:pt>
                <c:pt idx="27">
                  <c:v>104.190436751106</c:v>
                </c:pt>
                <c:pt idx="28">
                  <c:v>69.96917011316128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73958544"/>
        <c:axId val="-273956768"/>
      </c:lineChart>
      <c:dateAx>
        <c:axId val="-273958544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56768"/>
        <c:crosses val="autoZero"/>
        <c:auto val="1"/>
        <c:lblOffset val="100"/>
        <c:baseTimeUnit val="months"/>
      </c:dateAx>
      <c:valAx>
        <c:axId val="-2739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95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400"/>
              <a:t>High-risk</a:t>
            </a:r>
            <a:r>
              <a:rPr lang="zh-CN" altLang="en-US" sz="1400"/>
              <a:t> </a:t>
            </a:r>
            <a:r>
              <a:rPr lang="en-US" sz="1400"/>
              <a:t>Portfolio Net Asset Value (CAD)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NAV_high!$B$1</c:f>
              <c:strCache>
                <c:ptCount val="1"/>
                <c:pt idx="0">
                  <c:v>Portfolio Net Asset Value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NAV_high!$A$2:$A$30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NAV_high!$B$2:$B$30</c:f>
              <c:numCache>
                <c:formatCode>General</c:formatCode>
                <c:ptCount val="29"/>
                <c:pt idx="0">
                  <c:v>122465.857974431</c:v>
                </c:pt>
                <c:pt idx="1">
                  <c:v>122718.573107919</c:v>
                </c:pt>
                <c:pt idx="2">
                  <c:v>123150.256240333</c:v>
                </c:pt>
                <c:pt idx="3">
                  <c:v>123106.01278378</c:v>
                </c:pt>
                <c:pt idx="4">
                  <c:v>117255.301540424</c:v>
                </c:pt>
                <c:pt idx="5">
                  <c:v>121573.250794308</c:v>
                </c:pt>
                <c:pt idx="6">
                  <c:v>120610.664510258</c:v>
                </c:pt>
                <c:pt idx="7">
                  <c:v>124146.266542938</c:v>
                </c:pt>
                <c:pt idx="8">
                  <c:v>125182.724180959</c:v>
                </c:pt>
                <c:pt idx="9">
                  <c:v>127596.435620783</c:v>
                </c:pt>
                <c:pt idx="10">
                  <c:v>125580.558711709</c:v>
                </c:pt>
                <c:pt idx="11">
                  <c:v>120412.575254826</c:v>
                </c:pt>
                <c:pt idx="12">
                  <c:v>126887.024579057</c:v>
                </c:pt>
                <c:pt idx="13">
                  <c:v>130186.897304546</c:v>
                </c:pt>
                <c:pt idx="14">
                  <c:v>135110.901045335</c:v>
                </c:pt>
                <c:pt idx="15">
                  <c:v>137985.012281178</c:v>
                </c:pt>
                <c:pt idx="16">
                  <c:v>144877.903081149</c:v>
                </c:pt>
                <c:pt idx="17">
                  <c:v>148597.154279834</c:v>
                </c:pt>
                <c:pt idx="18">
                  <c:v>145900.896749027</c:v>
                </c:pt>
                <c:pt idx="19">
                  <c:v>147913.848824201</c:v>
                </c:pt>
                <c:pt idx="20">
                  <c:v>151648.031585074</c:v>
                </c:pt>
                <c:pt idx="21">
                  <c:v>153593.529070375</c:v>
                </c:pt>
                <c:pt idx="22">
                  <c:v>165424.524697737</c:v>
                </c:pt>
                <c:pt idx="23">
                  <c:v>165256.584773333</c:v>
                </c:pt>
                <c:pt idx="24">
                  <c:v>162457.985706486</c:v>
                </c:pt>
                <c:pt idx="25">
                  <c:v>171788.46109482</c:v>
                </c:pt>
                <c:pt idx="26">
                  <c:v>165501.9516541</c:v>
                </c:pt>
                <c:pt idx="27">
                  <c:v>165004.200089425</c:v>
                </c:pt>
                <c:pt idx="28">
                  <c:v>161145.021175925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20554640"/>
        <c:axId val="-320552864"/>
      </c:lineChart>
      <c:dateAx>
        <c:axId val="-320554640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0552864"/>
        <c:crosses val="autoZero"/>
        <c:auto val="1"/>
        <c:lblOffset val="100"/>
        <c:baseTimeUnit val="months"/>
      </c:dateAx>
      <c:valAx>
        <c:axId val="-320552864"/>
        <c:scaling>
          <c:orientation val="minMax"/>
          <c:min val="110000.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05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/>
              <a:t>Asset Allocation by Asset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Allocation_high'!$A$2:$A$3</c:f>
              <c:strCache>
                <c:ptCount val="2"/>
                <c:pt idx="0">
                  <c:v>Equity </c:v>
                </c:pt>
                <c:pt idx="1">
                  <c:v>Bond </c:v>
                </c:pt>
              </c:strCache>
            </c:strRef>
          </c:cat>
          <c:val>
            <c:numRef>
              <c:f>'Asset Allocation_high'!$B$2:$B$3</c:f>
              <c:numCache>
                <c:formatCode>General</c:formatCode>
                <c:ptCount val="2"/>
                <c:pt idx="0">
                  <c:v>1.4405</c:v>
                </c:pt>
                <c:pt idx="1">
                  <c:v>-0.4405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Asset Allocation by Region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Allocation_high'!$A$21:$A$25</c:f>
              <c:strCache>
                <c:ptCount val="5"/>
                <c:pt idx="0">
                  <c:v>China</c:v>
                </c:pt>
                <c:pt idx="1">
                  <c:v>India</c:v>
                </c:pt>
                <c:pt idx="2">
                  <c:v>South Korea</c:v>
                </c:pt>
                <c:pt idx="3">
                  <c:v>Baril</c:v>
                </c:pt>
                <c:pt idx="4">
                  <c:v>Russian</c:v>
                </c:pt>
              </c:strCache>
            </c:strRef>
          </c:cat>
          <c:val>
            <c:numRef>
              <c:f>'Asset Allocation_high'!$B$21:$B$25</c:f>
              <c:numCache>
                <c:formatCode>0%</c:formatCode>
                <c:ptCount val="5"/>
                <c:pt idx="0">
                  <c:v>0.25</c:v>
                </c:pt>
                <c:pt idx="1">
                  <c:v>0.11</c:v>
                </c:pt>
                <c:pt idx="2">
                  <c:v>0.09</c:v>
                </c:pt>
                <c:pt idx="3">
                  <c:v>0.08</c:v>
                </c:pt>
                <c:pt idx="4">
                  <c:v>0.15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Equity </a:t>
            </a:r>
            <a:r>
              <a:rPr lang="en-US"/>
              <a:t>Allocation by </a:t>
            </a:r>
            <a:r>
              <a:rPr lang="en-US" altLang="zh-CN"/>
              <a:t>Sector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Allocation_mid'!$A$56:$A$62</c:f>
              <c:strCache>
                <c:ptCount val="7"/>
                <c:pt idx="0">
                  <c:v>Technology</c:v>
                </c:pt>
                <c:pt idx="1">
                  <c:v>Comsumer Discretionary</c:v>
                </c:pt>
                <c:pt idx="2">
                  <c:v>Industrial</c:v>
                </c:pt>
                <c:pt idx="3">
                  <c:v>Financials</c:v>
                </c:pt>
                <c:pt idx="4">
                  <c:v>Energy</c:v>
                </c:pt>
                <c:pt idx="5">
                  <c:v>International</c:v>
                </c:pt>
                <c:pt idx="6">
                  <c:v>Others</c:v>
                </c:pt>
              </c:strCache>
            </c:strRef>
          </c:cat>
          <c:val>
            <c:numRef>
              <c:f>'Asset Allocation_mid'!$B$56:$B$62</c:f>
              <c:numCache>
                <c:formatCode>General</c:formatCode>
                <c:ptCount val="7"/>
                <c:pt idx="0">
                  <c:v>0.486654578109047</c:v>
                </c:pt>
                <c:pt idx="1">
                  <c:v>0.141174814306396</c:v>
                </c:pt>
                <c:pt idx="2">
                  <c:v>0.089649170336769</c:v>
                </c:pt>
                <c:pt idx="3">
                  <c:v>0.0862632789972329</c:v>
                </c:pt>
                <c:pt idx="4">
                  <c:v>0.0342082970448741</c:v>
                </c:pt>
                <c:pt idx="5">
                  <c:v>-0.151442876019785</c:v>
                </c:pt>
                <c:pt idx="6">
                  <c:v>-0.10716614479393</c:v>
                </c:pt>
              </c:numCache>
            </c:numRef>
          </c:val>
        </c:ser>
        <c:ser>
          <c:idx val="0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Allocation_mid'!$A$56:$A$62</c:f>
              <c:strCache>
                <c:ptCount val="7"/>
                <c:pt idx="0">
                  <c:v>Technology</c:v>
                </c:pt>
                <c:pt idx="1">
                  <c:v>Comsumer Discretionary</c:v>
                </c:pt>
                <c:pt idx="2">
                  <c:v>Industrial</c:v>
                </c:pt>
                <c:pt idx="3">
                  <c:v>Financials</c:v>
                </c:pt>
                <c:pt idx="4">
                  <c:v>Energy</c:v>
                </c:pt>
                <c:pt idx="5">
                  <c:v>International</c:v>
                </c:pt>
                <c:pt idx="6">
                  <c:v>Others</c:v>
                </c:pt>
              </c:strCache>
            </c:strRef>
          </c:cat>
          <c:val>
            <c:numRef>
              <c:f>'Asset Allocation_mid'!$B$28:$B$29</c:f>
              <c:numCache>
                <c:formatCode>General</c:formatCode>
                <c:ptCount val="2"/>
                <c:pt idx="0">
                  <c:v>-0.246123223957912</c:v>
                </c:pt>
                <c:pt idx="1">
                  <c:v>0.671990706429804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Bond</a:t>
            </a:r>
            <a:r>
              <a:rPr lang="zh-CN" altLang="en-US"/>
              <a:t> </a:t>
            </a:r>
            <a:r>
              <a:rPr lang="en-US"/>
              <a:t>Allocation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Allocation_mid'!$A$28:$A$29</c:f>
              <c:strCache>
                <c:ptCount val="2"/>
                <c:pt idx="0">
                  <c:v>Corporate Bond</c:v>
                </c:pt>
                <c:pt idx="1">
                  <c:v>Government Bond</c:v>
                </c:pt>
              </c:strCache>
            </c:strRef>
          </c:cat>
          <c:val>
            <c:numRef>
              <c:f>'Asset Allocation_mid'!$B$28:$B$29</c:f>
              <c:numCache>
                <c:formatCode>General</c:formatCode>
                <c:ptCount val="2"/>
                <c:pt idx="0">
                  <c:v>-0.246123223957912</c:v>
                </c:pt>
                <c:pt idx="1">
                  <c:v>0.671990706429804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Special</a:t>
            </a: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Portfolio Return - Benchmark Comparison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benchmark!$J$1</c:f>
              <c:strCache>
                <c:ptCount val="1"/>
                <c:pt idx="0">
                  <c:v>Special Portfolio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benchmark!$I$2:$I$30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benchmark!$J$2:$J$30</c:f>
              <c:numCache>
                <c:formatCode>General</c:formatCode>
                <c:ptCount val="29"/>
                <c:pt idx="0" formatCode="0.00E+00">
                  <c:v>-0.0109547213410798</c:v>
                </c:pt>
                <c:pt idx="1">
                  <c:v>0.0020635558160287</c:v>
                </c:pt>
                <c:pt idx="2">
                  <c:v>0.0035176674685927</c:v>
                </c:pt>
                <c:pt idx="3">
                  <c:v>-0.000359264023507676</c:v>
                </c:pt>
                <c:pt idx="4">
                  <c:v>-0.0475257959465523</c:v>
                </c:pt>
                <c:pt idx="5">
                  <c:v>0.0368251942313729</c:v>
                </c:pt>
                <c:pt idx="6">
                  <c:v>-0.00791774734788162</c:v>
                </c:pt>
                <c:pt idx="7">
                  <c:v>0.0293141742236175</c:v>
                </c:pt>
                <c:pt idx="8">
                  <c:v>0.00834868149387236</c:v>
                </c:pt>
                <c:pt idx="9">
                  <c:v>0.0192815059395515</c:v>
                </c:pt>
                <c:pt idx="10">
                  <c:v>-0.0157988497034929</c:v>
                </c:pt>
                <c:pt idx="11">
                  <c:v>-0.0411527350244335</c:v>
                </c:pt>
                <c:pt idx="12">
                  <c:v>0.0537688801234362</c:v>
                </c:pt>
                <c:pt idx="13">
                  <c:v>0.0260063843126325</c:v>
                </c:pt>
                <c:pt idx="14">
                  <c:v>0.037822575410722</c:v>
                </c:pt>
                <c:pt idx="15">
                  <c:v>0.0212722379438422</c:v>
                </c:pt>
                <c:pt idx="16">
                  <c:v>0.0499539093849173</c:v>
                </c:pt>
                <c:pt idx="17">
                  <c:v>0.0256716249999943</c:v>
                </c:pt>
                <c:pt idx="18">
                  <c:v>-0.0181447453948515</c:v>
                </c:pt>
                <c:pt idx="19">
                  <c:v>0.0137967080396846</c:v>
                </c:pt>
                <c:pt idx="20">
                  <c:v>0.0252456601633784</c:v>
                </c:pt>
                <c:pt idx="21">
                  <c:v>0.0128290322331632</c:v>
                </c:pt>
                <c:pt idx="22">
                  <c:v>0.0770279561838881</c:v>
                </c:pt>
                <c:pt idx="23">
                  <c:v>-0.00101520572424529</c:v>
                </c:pt>
                <c:pt idx="24">
                  <c:v>-0.0169348717370952</c:v>
                </c:pt>
                <c:pt idx="25">
                  <c:v>0.0574331593966165</c:v>
                </c:pt>
                <c:pt idx="26">
                  <c:v>-0.0365944802151156</c:v>
                </c:pt>
                <c:pt idx="27">
                  <c:v>-0.00300752685814768</c:v>
                </c:pt>
                <c:pt idx="28">
                  <c:v>-0.0233883677591754</c:v>
                </c:pt>
              </c:numCache>
            </c:numRef>
          </c:val>
        </c:ser>
        <c:ser>
          <c:idx val="1"/>
          <c:order val="1"/>
          <c:tx>
            <c:strRef>
              <c:f>benchmark!$K$1</c:f>
              <c:strCache>
                <c:ptCount val="1"/>
                <c:pt idx="0">
                  <c:v>Benchmark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benchmark!$I$2:$I$30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benchmark!$K$2:$K$30</c:f>
              <c:numCache>
                <c:formatCode>0.0000</c:formatCode>
                <c:ptCount val="29"/>
                <c:pt idx="0">
                  <c:v>-0.038854897640907</c:v>
                </c:pt>
                <c:pt idx="1">
                  <c:v>0.00371341508736989</c:v>
                </c:pt>
                <c:pt idx="2">
                  <c:v>0.0898432392207482</c:v>
                </c:pt>
                <c:pt idx="3">
                  <c:v>0.00786908460506574</c:v>
                </c:pt>
                <c:pt idx="4">
                  <c:v>-0.0258082286304593</c:v>
                </c:pt>
                <c:pt idx="5">
                  <c:v>0.0289273877370859</c:v>
                </c:pt>
                <c:pt idx="6">
                  <c:v>0.0378550950236149</c:v>
                </c:pt>
                <c:pt idx="7">
                  <c:v>0.0142848306585703</c:v>
                </c:pt>
                <c:pt idx="8">
                  <c:v>0.00566635223725398</c:v>
                </c:pt>
                <c:pt idx="9">
                  <c:v>-0.00553549333011261</c:v>
                </c:pt>
                <c:pt idx="10">
                  <c:v>-0.0415317225436189</c:v>
                </c:pt>
                <c:pt idx="11">
                  <c:v>-0.00392672575596398</c:v>
                </c:pt>
                <c:pt idx="12">
                  <c:v>0.039082250604797</c:v>
                </c:pt>
                <c:pt idx="13">
                  <c:v>0.0241038076658979</c:v>
                </c:pt>
                <c:pt idx="14">
                  <c:v>0.0141748854777646</c:v>
                </c:pt>
                <c:pt idx="15">
                  <c:v>0.0164055382650956</c:v>
                </c:pt>
                <c:pt idx="16">
                  <c:v>0.0187219072532452</c:v>
                </c:pt>
                <c:pt idx="17">
                  <c:v>0.000693230120468069</c:v>
                </c:pt>
                <c:pt idx="18">
                  <c:v>0.0349425230129956</c:v>
                </c:pt>
                <c:pt idx="19">
                  <c:v>0.0174418577694724</c:v>
                </c:pt>
                <c:pt idx="20">
                  <c:v>-0.00534872109313378</c:v>
                </c:pt>
                <c:pt idx="21">
                  <c:v>0.0210662699235589</c:v>
                </c:pt>
                <c:pt idx="22">
                  <c:v>-0.000669736200766158</c:v>
                </c:pt>
                <c:pt idx="23">
                  <c:v>0.020079164300224</c:v>
                </c:pt>
                <c:pt idx="24">
                  <c:v>0.0492102465042508</c:v>
                </c:pt>
                <c:pt idx="25">
                  <c:v>-0.0381828367061835</c:v>
                </c:pt>
                <c:pt idx="26">
                  <c:v>-0.0129360934354707</c:v>
                </c:pt>
                <c:pt idx="27">
                  <c:v>-0.0107837534967667</c:v>
                </c:pt>
                <c:pt idx="28">
                  <c:v>-0.0282401817442375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326660000"/>
        <c:axId val="-322418560"/>
      </c:barChart>
      <c:dateAx>
        <c:axId val="-326660000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2418560"/>
        <c:crosses val="autoZero"/>
        <c:auto val="1"/>
        <c:lblOffset val="100"/>
        <c:baseTimeUnit val="months"/>
      </c:dateAx>
      <c:valAx>
        <c:axId val="-32241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66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Special</a:t>
            </a: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Portfolio </a:t>
            </a:r>
            <a:r>
              <a:rPr lang="en-US" altLang="zh-CN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Cumulative</a:t>
            </a:r>
            <a:r>
              <a:rPr lang="zh-CN" alt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</a:t>
            </a: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Return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'benchmark 2'!$O$1</c:f>
              <c:strCache>
                <c:ptCount val="1"/>
                <c:pt idx="0">
                  <c:v>Special Portfolio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2'!$N$2:$N$31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2'!$O$2:$O$31</c:f>
              <c:numCache>
                <c:formatCode>0.00E+00</c:formatCode>
                <c:ptCount val="30"/>
                <c:pt idx="0" formatCode="General">
                  <c:v>1.0</c:v>
                </c:pt>
                <c:pt idx="1">
                  <c:v>0.98904527865892</c:v>
                </c:pt>
                <c:pt idx="2">
                  <c:v>0.991086228796013</c:v>
                </c:pt>
                <c:pt idx="3">
                  <c:v>0.994572540581618</c:v>
                </c:pt>
                <c:pt idx="4">
                  <c:v>0.994215226449019</c:v>
                </c:pt>
                <c:pt idx="5">
                  <c:v>0.946964356469848</c:v>
                </c:pt>
                <c:pt idx="6">
                  <c:v>0.981836502827037</c:v>
                </c:pt>
                <c:pt idx="7">
                  <c:v>0.974062569460725</c:v>
                </c:pt>
                <c:pt idx="8">
                  <c:v>1.002616409326601</c:v>
                </c:pt>
                <c:pt idx="9">
                  <c:v>1.0109869343886</c:v>
                </c:pt>
                <c:pt idx="10">
                  <c:v>1.030480284968821</c:v>
                </c:pt>
                <c:pt idx="11">
                  <c:v>1.014199881824186</c:v>
                </c:pt>
                <c:pt idx="12">
                  <c:v>0.972462782825664</c:v>
                </c:pt>
                <c:pt idx="13">
                  <c:v>1.02475101761992</c:v>
                </c:pt>
                <c:pt idx="14">
                  <c:v>1.051401086408905</c:v>
                </c:pt>
                <c:pt idx="15">
                  <c:v>1.091167783286521</c:v>
                </c:pt>
                <c:pt idx="16">
                  <c:v>1.114379364009247</c:v>
                </c:pt>
                <c:pt idx="17">
                  <c:v>1.170046969779386</c:v>
                </c:pt>
                <c:pt idx="18">
                  <c:v>1.200083976819942</c:v>
                </c:pt>
                <c:pt idx="19">
                  <c:v>1.178308758608104</c:v>
                </c:pt>
                <c:pt idx="20">
                  <c:v>1.194565540531223</c:v>
                </c:pt>
                <c:pt idx="21">
                  <c:v>1.224723136210356</c:v>
                </c:pt>
                <c:pt idx="22">
                  <c:v>1.2404351488015</c:v>
                </c:pt>
                <c:pt idx="23">
                  <c:v>1.335983333092336</c:v>
                </c:pt>
                <c:pt idx="24">
                  <c:v>1.334627035165085</c:v>
                </c:pt>
                <c:pt idx="25">
                  <c:v>1.312025297507704</c:v>
                </c:pt>
                <c:pt idx="26">
                  <c:v>1.387379055551857</c:v>
                </c:pt>
                <c:pt idx="27">
                  <c:v>1.336608640152599</c:v>
                </c:pt>
                <c:pt idx="28">
                  <c:v>1.332588753768508</c:v>
                </c:pt>
                <c:pt idx="29">
                  <c:v>1.301421677923629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'benchmark 2'!$P$1</c:f>
              <c:strCache>
                <c:ptCount val="1"/>
                <c:pt idx="0">
                  <c:v>Benchmark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2'!$N$2:$N$31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2'!$P$2:$P$31</c:f>
              <c:numCache>
                <c:formatCode>0.00E+00</c:formatCode>
                <c:ptCount val="30"/>
                <c:pt idx="0" formatCode="General">
                  <c:v>1.0</c:v>
                </c:pt>
                <c:pt idx="1">
                  <c:v>0.961145102359093</c:v>
                </c:pt>
                <c:pt idx="2">
                  <c:v>0.964714233083345</c:v>
                </c:pt>
                <c:pt idx="3">
                  <c:v>1.051387284705912</c:v>
                </c:pt>
                <c:pt idx="4">
                  <c:v>1.059660740201954</c:v>
                </c:pt>
                <c:pt idx="5">
                  <c:v>1.0323127735481</c:v>
                </c:pt>
                <c:pt idx="6">
                  <c:v>1.062174885414472</c:v>
                </c:pt>
                <c:pt idx="7">
                  <c:v>1.102383616633535</c:v>
                </c:pt>
                <c:pt idx="8">
                  <c:v>1.118130979917927</c:v>
                </c:pt>
                <c:pt idx="9">
                  <c:v>1.124466703897528</c:v>
                </c:pt>
                <c:pt idx="10">
                  <c:v>1.11824222595817</c:v>
                </c:pt>
                <c:pt idx="11">
                  <c:v>1.071799700093116</c:v>
                </c:pt>
                <c:pt idx="12">
                  <c:v>1.067591036605525</c:v>
                </c:pt>
                <c:pt idx="13">
                  <c:v>1.109314897041578</c:v>
                </c:pt>
                <c:pt idx="14">
                  <c:v>1.136053609960783</c:v>
                </c:pt>
                <c:pt idx="15">
                  <c:v>1.152157039778578</c:v>
                </c:pt>
                <c:pt idx="16">
                  <c:v>1.171058796182065</c:v>
                </c:pt>
                <c:pt idx="17">
                  <c:v>1.192983250352283</c:v>
                </c:pt>
                <c:pt idx="18">
                  <c:v>1.193810262274641</c:v>
                </c:pt>
                <c:pt idx="19">
                  <c:v>1.235525004837323</c:v>
                </c:pt>
                <c:pt idx="20">
                  <c:v>1.257074856242322</c:v>
                </c:pt>
                <c:pt idx="21">
                  <c:v>1.25035111344309</c:v>
                </c:pt>
                <c:pt idx="22">
                  <c:v>1.276691347498105</c:v>
                </c:pt>
                <c:pt idx="23">
                  <c:v>1.27583630108548</c:v>
                </c:pt>
                <c:pt idx="24">
                  <c:v>1.301454027795166</c:v>
                </c:pt>
                <c:pt idx="25">
                  <c:v>1.365498901316916</c:v>
                </c:pt>
                <c:pt idx="26">
                  <c:v>1.313360279745459</c:v>
                </c:pt>
                <c:pt idx="27">
                  <c:v>1.296370528452236</c:v>
                </c:pt>
                <c:pt idx="28">
                  <c:v>1.282390788232934</c:v>
                </c:pt>
                <c:pt idx="29">
                  <c:v>1.2461758393061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73394656"/>
        <c:axId val="-273392336"/>
      </c:lineChart>
      <c:dateAx>
        <c:axId val="-273394656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392336"/>
        <c:crosses val="autoZero"/>
        <c:auto val="1"/>
        <c:lblOffset val="100"/>
        <c:baseTimeUnit val="months"/>
      </c:dateAx>
      <c:valAx>
        <c:axId val="-273392336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39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special!$AA$1</c:f>
              <c:strCache>
                <c:ptCount val="1"/>
                <c:pt idx="0">
                  <c:v>Portfolio Volatility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special!$Z$2:$Z$30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special!$AA$2:$AA$30</c:f>
              <c:numCache>
                <c:formatCode>0.0000%</c:formatCode>
                <c:ptCount val="29"/>
                <c:pt idx="0">
                  <c:v>0.100037449684911</c:v>
                </c:pt>
                <c:pt idx="1">
                  <c:v>0.0991797077138092</c:v>
                </c:pt>
                <c:pt idx="2">
                  <c:v>0.0982297421678146</c:v>
                </c:pt>
                <c:pt idx="3">
                  <c:v>0.102116467570123</c:v>
                </c:pt>
                <c:pt idx="4">
                  <c:v>0.0974596029910688</c:v>
                </c:pt>
                <c:pt idx="5">
                  <c:v>0.100812476585182</c:v>
                </c:pt>
                <c:pt idx="6">
                  <c:v>0.0971423985012671</c:v>
                </c:pt>
                <c:pt idx="7">
                  <c:v>0.0974729025064306</c:v>
                </c:pt>
                <c:pt idx="8">
                  <c:v>0.0959309844029719</c:v>
                </c:pt>
                <c:pt idx="9">
                  <c:v>0.0966361974560095</c:v>
                </c:pt>
                <c:pt idx="10">
                  <c:v>0.098456469368555</c:v>
                </c:pt>
                <c:pt idx="11">
                  <c:v>0.101763462517115</c:v>
                </c:pt>
                <c:pt idx="12">
                  <c:v>0.106015980110299</c:v>
                </c:pt>
                <c:pt idx="13">
                  <c:v>0.105603800129033</c:v>
                </c:pt>
                <c:pt idx="14">
                  <c:v>0.106558786131757</c:v>
                </c:pt>
                <c:pt idx="15">
                  <c:v>0.108886398862067</c:v>
                </c:pt>
                <c:pt idx="16">
                  <c:v>0.111052230504742</c:v>
                </c:pt>
                <c:pt idx="17">
                  <c:v>0.11253808799366</c:v>
                </c:pt>
                <c:pt idx="18">
                  <c:v>0.111936714608706</c:v>
                </c:pt>
                <c:pt idx="19">
                  <c:v>0.111585131038614</c:v>
                </c:pt>
                <c:pt idx="20">
                  <c:v>0.111191725711547</c:v>
                </c:pt>
                <c:pt idx="21">
                  <c:v>0.113895490299071</c:v>
                </c:pt>
                <c:pt idx="22">
                  <c:v>0.116008809316635</c:v>
                </c:pt>
                <c:pt idx="23">
                  <c:v>0.117689129267126</c:v>
                </c:pt>
                <c:pt idx="24">
                  <c:v>0.120179123263606</c:v>
                </c:pt>
                <c:pt idx="25">
                  <c:v>0.123410396547094</c:v>
                </c:pt>
                <c:pt idx="26">
                  <c:v>0.124698101758012</c:v>
                </c:pt>
                <c:pt idx="27">
                  <c:v>0.124688671603913</c:v>
                </c:pt>
                <c:pt idx="28">
                  <c:v>0.121419080935859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73423024"/>
        <c:axId val="-273534432"/>
      </c:lineChart>
      <c:dateAx>
        <c:axId val="-273423024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534432"/>
        <c:crosses val="autoZero"/>
        <c:auto val="1"/>
        <c:lblOffset val="100"/>
        <c:baseTimeUnit val="months"/>
      </c:dateAx>
      <c:valAx>
        <c:axId val="-2735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42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DCBAC5-4383-C140-A68E-371686C7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574</Words>
  <Characters>3276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Robo-aDVISOR pERFORMANCE rEPORT</vt:lpstr>
      <vt:lpstr>Introduction</vt:lpstr>
      <vt:lpstr>Account Overview</vt:lpstr>
      <vt:lpstr>    Allocation by Region</vt:lpstr>
      <vt:lpstr>    Allocation by Asset Class</vt:lpstr>
      <vt:lpstr>    Allocation by Sector</vt:lpstr>
      <vt:lpstr>Portfolio Performance</vt:lpstr>
      <vt:lpstr>    Risk Measures</vt:lpstr>
      <vt:lpstr>    Risk Measures benchmark comparison</vt:lpstr>
      <vt:lpstr>Scenario Analysis for Economic Factors</vt:lpstr>
      <vt:lpstr>    Baseline</vt:lpstr>
      <vt:lpstr>    Recession</vt:lpstr>
      <vt:lpstr>    Slower Growth</vt:lpstr>
      <vt:lpstr>Stress Testing and Sensitivity Analysis</vt:lpstr>
      <vt:lpstr>Fee Summary</vt:lpstr>
      <vt:lpstr>Appendix</vt:lpstr>
      <vt:lpstr>    I. Backtesting</vt:lpstr>
      <vt:lpstr>        Risk Measures for backtesting</vt:lpstr>
      <vt:lpstr>    II. Methodology of Portfolio Strategy</vt:lpstr>
      <vt:lpstr>Introduction</vt:lpstr>
      <vt:lpstr>Account Overview</vt:lpstr>
      <vt:lpstr>Portfolio Performance</vt:lpstr>
      <vt:lpstr/>
      <vt:lpstr>Scenario Analysis for Economic Factors</vt:lpstr>
      <vt:lpstr>Stress Testing and Sensitivity Analysis</vt:lpstr>
      <vt:lpstr>Fee Summary</vt:lpstr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Robo-aDVISOR 
Monthly rEPORT</dc:title>
  <dc:subject>May 1st-May 31th, 2018</dc:subject>
  <dc:creator>Account Manager: Yuanxin Nie, Rong Wang, Yiqi Shi, Zeneng Fan, Yuanpei Ma</dc:creator>
  <cp:keywords/>
  <dc:description/>
  <cp:lastModifiedBy>Yiqi Shi</cp:lastModifiedBy>
  <cp:revision>153</cp:revision>
  <dcterms:created xsi:type="dcterms:W3CDTF">2018-07-03T21:45:00Z</dcterms:created>
  <dcterms:modified xsi:type="dcterms:W3CDTF">2018-07-04T06:17:00Z</dcterms:modified>
</cp:coreProperties>
</file>