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rFonts w:ascii="Times New Roman" w:cs="Times New Roman" w:eastAsia="Times New Roman" w:hAnsi="Times New Roman"/>
          <w:color w:val="2020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highlight w:val="white"/>
          <w:rtl w:val="0"/>
        </w:rPr>
        <w:t xml:space="preserve">S2 Fig.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rtl w:val="0"/>
        </w:rPr>
        <w:t xml:space="preserve"> Effect of the C:N ratio and different carbon sources on production of PHB and EPS under anaerobic conditions.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rtl w:val="0"/>
        </w:rPr>
        <w:t xml:space="preserve"> PCA plot displaying the two first component scores of the yield per C molecule of PHB and EPS considering the PCA coefficients of PHB and EPS under aerobic conditions with 34 carbon sources. The PCA represents 99% of the variability of the data. Two main clusters can be identified, the cluster of the EPS (left side) and the cluster of the PHB (right side).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rtl w:val="0"/>
        </w:rPr>
        <w:t xml:space="preserve"> First two component scores of the yield per C molecule of PHB and EPS PCA under anaerobic conditions, considering the PCA coefficients of C sources. The compounds were grouped by their common functional groups. No clear clustering was observed based on the C sources.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rtl w:val="0"/>
        </w:rPr>
        <w:t xml:space="preserve"> PCA plot displaying the two first component scores of the C:N ratios considering the PCA coefficients of PHB and EPS under anaerobic conditions. The PCA represents 99% of the variability of the data. Two main clusters can be identified, the cluster of the EPS (left side) and the cluster of the PHB (right side).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rtl w:val="0"/>
        </w:rPr>
        <w:t xml:space="preserve"> First two component scores of the C:N ratio PCA under anaerobic conditions, considering the PCA coefficients of C sources. The compounds were grouped by their common functional groups. No clear clustering was observed based on the C sources based on the C:N ratio component scores.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