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706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highlight w:val="white"/>
          <w:rtl w:val="0"/>
        </w:rPr>
        <w:t xml:space="preserve">S3 Fig. Gene essentiality analysis for the production of PHB and EPSs under aerobic and anaerobic conditions using different carbon sources.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highlight w:val="white"/>
          <w:rtl w:val="0"/>
        </w:rPr>
        <w:t xml:space="preserve"> Upset plot with 20 distinct groups of lethal genes for PHB and six EPSs under aerobic conditions.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highlight w:val="white"/>
          <w:rtl w:val="0"/>
        </w:rPr>
        <w:t xml:space="preserve"> Upset plot with 19 diverse groups of lethal genes for PHB and six EPSs under anaerobic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