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5494" w14:textId="77777777" w:rsidR="005629E8" w:rsidRPr="005629E8" w:rsidRDefault="005629E8" w:rsidP="005629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629E8">
        <w:rPr>
          <w:rFonts w:ascii="Segoe UI" w:eastAsia="Times New Roman" w:hAnsi="Segoe UI" w:cs="Segoe UI"/>
          <w:b/>
          <w:bCs/>
          <w:color w:val="E6E6E6"/>
          <w:kern w:val="36"/>
          <w:sz w:val="48"/>
          <w:szCs w:val="48"/>
          <w:lang w:eastAsia="es-MX"/>
        </w:rPr>
        <w:t>Introducción</w:t>
      </w:r>
    </w:p>
    <w:p w14:paraId="48F09B7D" w14:textId="77777777" w:rsidR="005629E8" w:rsidRPr="005629E8" w:rsidRDefault="005629E8" w:rsidP="005629E8">
      <w:pPr>
        <w:shd w:val="clear" w:color="auto" w:fill="171717"/>
        <w:spacing w:after="0" w:line="240" w:lineRule="auto"/>
        <w:rPr>
          <w:rFonts w:ascii="Segoe UI" w:eastAsia="Times New Roman" w:hAnsi="Segoe UI" w:cs="Segoe UI"/>
          <w:color w:val="E6E6E6"/>
          <w:sz w:val="24"/>
          <w:szCs w:val="24"/>
          <w:lang w:eastAsia="es-MX"/>
        </w:rPr>
      </w:pPr>
      <w:r w:rsidRPr="005629E8">
        <w:rPr>
          <w:rFonts w:ascii="docons" w:eastAsia="Times New Roman" w:hAnsi="docons" w:cs="Segoe UI"/>
          <w:color w:val="E6E6E6"/>
          <w:sz w:val="14"/>
          <w:szCs w:val="14"/>
          <w:bdr w:val="none" w:sz="0" w:space="0" w:color="auto" w:frame="1"/>
          <w:lang w:eastAsia="es-MX"/>
        </w:rPr>
        <w:t>Completado</w:t>
      </w:r>
      <w:r w:rsidRPr="005629E8">
        <w:rPr>
          <w:rFonts w:ascii="Segoe UI" w:eastAsia="Times New Roman" w:hAnsi="Segoe UI" w:cs="Segoe UI"/>
          <w:color w:val="E6E6E6"/>
          <w:sz w:val="18"/>
          <w:szCs w:val="18"/>
          <w:lang w:eastAsia="es-MX"/>
        </w:rPr>
        <w:t>100 XP</w:t>
      </w:r>
    </w:p>
    <w:p w14:paraId="5189EF90" w14:textId="77777777" w:rsidR="005629E8" w:rsidRPr="005629E8" w:rsidRDefault="005629E8" w:rsidP="005629E8">
      <w:pPr>
        <w:numPr>
          <w:ilvl w:val="0"/>
          <w:numId w:val="1"/>
        </w:numPr>
        <w:shd w:val="clear" w:color="auto" w:fill="171717"/>
        <w:spacing w:after="0" w:line="240" w:lineRule="auto"/>
        <w:rPr>
          <w:rFonts w:ascii="Segoe UI" w:eastAsia="Times New Roman" w:hAnsi="Segoe UI" w:cs="Segoe UI"/>
          <w:sz w:val="24"/>
          <w:szCs w:val="24"/>
          <w:lang w:eastAsia="es-MX"/>
        </w:rPr>
      </w:pPr>
      <w:r w:rsidRPr="005629E8">
        <w:rPr>
          <w:rFonts w:ascii="Segoe UI" w:eastAsia="Times New Roman" w:hAnsi="Segoe UI" w:cs="Segoe UI"/>
          <w:sz w:val="24"/>
          <w:szCs w:val="24"/>
          <w:lang w:eastAsia="es-MX"/>
        </w:rPr>
        <w:t>1 minuto</w:t>
      </w:r>
    </w:p>
    <w:p w14:paraId="33B84965"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este módulo, obtendrá información sobre los acuerdos de nivel de servicio (SLA) en Azure y cómo pueden afectar a las decisiones sobre el diseño de las aplicaciones. También conocerá el ciclo de vida de los nuevos servicios de Azure, desde la versión preliminar hasta su disponibilidad general.</w:t>
      </w:r>
    </w:p>
    <w:p w14:paraId="3FE4789D"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proofErr w:type="spellStart"/>
      <w:r w:rsidRPr="005629E8">
        <w:rPr>
          <w:rFonts w:ascii="Segoe UI" w:eastAsia="Times New Roman" w:hAnsi="Segoe UI" w:cs="Segoe UI"/>
          <w:b/>
          <w:bCs/>
          <w:color w:val="E6E6E6"/>
          <w:sz w:val="36"/>
          <w:szCs w:val="36"/>
          <w:lang w:eastAsia="es-MX"/>
        </w:rPr>
        <w:t>Tailwind</w:t>
      </w:r>
      <w:proofErr w:type="spellEnd"/>
      <w:r w:rsidRPr="005629E8">
        <w:rPr>
          <w:rFonts w:ascii="Segoe UI" w:eastAsia="Times New Roman" w:hAnsi="Segoe UI" w:cs="Segoe UI"/>
          <w:b/>
          <w:bCs/>
          <w:color w:val="E6E6E6"/>
          <w:sz w:val="36"/>
          <w:szCs w:val="36"/>
          <w:lang w:eastAsia="es-MX"/>
        </w:rPr>
        <w:t xml:space="preserve"> </w:t>
      </w:r>
      <w:proofErr w:type="spellStart"/>
      <w:r w:rsidRPr="005629E8">
        <w:rPr>
          <w:rFonts w:ascii="Segoe UI" w:eastAsia="Times New Roman" w:hAnsi="Segoe UI" w:cs="Segoe UI"/>
          <w:b/>
          <w:bCs/>
          <w:color w:val="E6E6E6"/>
          <w:sz w:val="36"/>
          <w:szCs w:val="36"/>
          <w:lang w:eastAsia="es-MX"/>
        </w:rPr>
        <w:t>Traders</w:t>
      </w:r>
      <w:proofErr w:type="spellEnd"/>
    </w:p>
    <w:p w14:paraId="3AF3FF78"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5" w:tgtFrame="az-portal" w:history="1">
        <w:proofErr w:type="spellStart"/>
        <w:r w:rsidRPr="005629E8">
          <w:rPr>
            <w:rFonts w:ascii="Segoe UI" w:eastAsia="Times New Roman" w:hAnsi="Segoe UI" w:cs="Segoe UI"/>
            <w:color w:val="0000FF"/>
            <w:sz w:val="24"/>
            <w:szCs w:val="24"/>
            <w:u w:val="single"/>
            <w:lang w:eastAsia="es-MX"/>
          </w:rPr>
          <w:t>Tailwind</w:t>
        </w:r>
        <w:proofErr w:type="spellEnd"/>
        <w:r w:rsidRPr="005629E8">
          <w:rPr>
            <w:rFonts w:ascii="Segoe UI" w:eastAsia="Times New Roman" w:hAnsi="Segoe UI" w:cs="Segoe UI"/>
            <w:color w:val="0000FF"/>
            <w:sz w:val="24"/>
            <w:szCs w:val="24"/>
            <w:u w:val="single"/>
            <w:lang w:eastAsia="es-MX"/>
          </w:rPr>
          <w:t xml:space="preserve"> </w:t>
        </w:r>
        <w:proofErr w:type="spellStart"/>
        <w:r w:rsidRPr="005629E8">
          <w:rPr>
            <w:rFonts w:ascii="Segoe UI" w:eastAsia="Times New Roman" w:hAnsi="Segoe UI" w:cs="Segoe UI"/>
            <w:color w:val="0000FF"/>
            <w:sz w:val="24"/>
            <w:szCs w:val="24"/>
            <w:u w:val="single"/>
            <w:lang w:eastAsia="es-MX"/>
          </w:rPr>
          <w:t>Traders</w:t>
        </w:r>
        <w:proofErr w:type="spellEnd"/>
      </w:hyperlink>
      <w:r w:rsidRPr="005629E8">
        <w:rPr>
          <w:rFonts w:ascii="Segoe UI" w:eastAsia="Times New Roman" w:hAnsi="Segoe UI" w:cs="Segoe UI"/>
          <w:color w:val="E6E6E6"/>
          <w:sz w:val="24"/>
          <w:szCs w:val="24"/>
          <w:lang w:eastAsia="es-MX"/>
        </w:rPr>
        <w:t> es una empresa ficticia que distribuye productos para la remodelación del hogar. Esta empresa cuenta con ferreterías minoristas en todo el mundo y en línea.</w:t>
      </w:r>
    </w:p>
    <w:p w14:paraId="3D9C6FAB" w14:textId="6A637176"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noProof/>
          <w:color w:val="E6E6E6"/>
          <w:sz w:val="24"/>
          <w:szCs w:val="24"/>
          <w:lang w:eastAsia="es-MX"/>
        </w:rPr>
        <w:drawing>
          <wp:inline distT="0" distB="0" distL="0" distR="0" wp14:anchorId="73ACBB88" wp14:editId="0EDDB488">
            <wp:extent cx="4572000" cy="1219200"/>
            <wp:effectExtent l="0" t="0" r="0" b="0"/>
            <wp:docPr id="1" name="Picture 1" descr="The Tailwind Trad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ailwind Traders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1219200"/>
                    </a:xfrm>
                    <a:prstGeom prst="rect">
                      <a:avLst/>
                    </a:prstGeom>
                    <a:noFill/>
                    <a:ln>
                      <a:noFill/>
                    </a:ln>
                  </pic:spPr>
                </pic:pic>
              </a:graphicData>
            </a:graphic>
          </wp:inline>
        </w:drawing>
      </w:r>
    </w:p>
    <w:p w14:paraId="3574BB21"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está especializada en precios competitivos, envío rápido y una amplia gama de artículos. Va a examinar las tecnologías en la nube para mejorar las operaciones comerciales y apoyar el crecimiento en nuevos mercados. Al migrar a la nube, la empresa tiene previsto mejorar su experiencia de compra para diferenciarse de sus competidores.</w:t>
      </w:r>
    </w:p>
    <w:p w14:paraId="5A3BA9D1"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¿Qué efecto tendrá el pasaje a la nube en los acuerdos de disponibilidad?</w:t>
      </w:r>
    </w:p>
    <w:p w14:paraId="3DEEA60B"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La transición a la nube elimina la carga que supone dar soporte a la infraestructura de TI. Cuando se pierde la conectividad de red o se produce un error en una unidad de disco duro, el proveedor de servicios en la nube se encarga de restaurar el servicio.</w:t>
      </w:r>
    </w:p>
    <w:p w14:paraId="0764DC2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El Departamento de TI de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hospeda en su centro de datos aplicaciones y servicios del resto de la empresa. Este departamento mantiene </w:t>
      </w:r>
      <w:r w:rsidRPr="005629E8">
        <w:rPr>
          <w:rFonts w:ascii="Segoe UI" w:eastAsia="Times New Roman" w:hAnsi="Segoe UI" w:cs="Segoe UI"/>
          <w:color w:val="E6E6E6"/>
          <w:sz w:val="24"/>
          <w:szCs w:val="24"/>
          <w:lang w:eastAsia="es-MX"/>
        </w:rPr>
        <w:lastRenderedPageBreak/>
        <w:t xml:space="preserve">acuerdos en vigor con otros equipos en los que se estipula la disponibilidad de los servicios, lo que incluye cuándo y cómo se puede producir el mantenimiento planeado. Dado que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mueve sus cargas de trabajo a Azure, la empresa deja de tener el control total del hardware y las redes. ¿Cómo se verán afectados los acuerdos de disponibilidad?</w:t>
      </w:r>
    </w:p>
    <w:p w14:paraId="435E63B7"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Objetivos de aprendizaje</w:t>
      </w:r>
    </w:p>
    <w:p w14:paraId="17242904"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Después de completar este módulo, podrá:</w:t>
      </w:r>
    </w:p>
    <w:p w14:paraId="61464782" w14:textId="77777777" w:rsidR="005629E8" w:rsidRPr="005629E8" w:rsidRDefault="005629E8" w:rsidP="005629E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Describir qué es un acuerdo de nivel de servicio (SLA) y por qué son importantes los SLA;</w:t>
      </w:r>
    </w:p>
    <w:p w14:paraId="603223E3" w14:textId="77777777" w:rsidR="005629E8" w:rsidRPr="005629E8" w:rsidRDefault="005629E8" w:rsidP="005629E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identificar los factores que pueden influir en un acuerdo de nivel de servicio, como el nivel de servicio que se elija;</w:t>
      </w:r>
    </w:p>
    <w:p w14:paraId="7E979740" w14:textId="77777777" w:rsidR="005629E8" w:rsidRPr="005629E8" w:rsidRDefault="005629E8" w:rsidP="005629E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combinar acuerdos de nivel de servicio para calcular un SLA compuesto;</w:t>
      </w:r>
    </w:p>
    <w:p w14:paraId="18925FA6" w14:textId="77777777" w:rsidR="005629E8" w:rsidRPr="005629E8" w:rsidRDefault="005629E8" w:rsidP="005629E8">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describir el ciclo de vida del servicio en Azure, incluido el acceso a las nuevas funcionalidades que se incorporarán a Azure en el futuro.</w:t>
      </w:r>
    </w:p>
    <w:p w14:paraId="426C1E46"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Requisitos previos</w:t>
      </w:r>
    </w:p>
    <w:p w14:paraId="48D23B65" w14:textId="77777777" w:rsidR="005629E8" w:rsidRPr="005629E8" w:rsidRDefault="005629E8" w:rsidP="005629E8">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Debe estar familiarizado con la terminología y los conceptos básicos relacionados con la informática.</w:t>
      </w:r>
    </w:p>
    <w:p w14:paraId="4A7C3835" w14:textId="77777777" w:rsidR="005629E8" w:rsidRPr="005629E8" w:rsidRDefault="005629E8" w:rsidP="005629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629E8">
        <w:rPr>
          <w:rFonts w:ascii="Segoe UI" w:eastAsia="Times New Roman" w:hAnsi="Segoe UI" w:cs="Segoe UI"/>
          <w:b/>
          <w:bCs/>
          <w:color w:val="E6E6E6"/>
          <w:kern w:val="36"/>
          <w:sz w:val="48"/>
          <w:szCs w:val="48"/>
          <w:lang w:eastAsia="es-MX"/>
        </w:rPr>
        <w:t>¿Qué son los acuerdos de nivel de servicio (SLA)?</w:t>
      </w:r>
    </w:p>
    <w:p w14:paraId="1A8520D9" w14:textId="77777777" w:rsidR="005629E8" w:rsidRPr="005629E8" w:rsidRDefault="005629E8" w:rsidP="005629E8">
      <w:pPr>
        <w:shd w:val="clear" w:color="auto" w:fill="171717"/>
        <w:spacing w:after="0" w:line="240" w:lineRule="auto"/>
        <w:rPr>
          <w:rFonts w:ascii="Segoe UI" w:eastAsia="Times New Roman" w:hAnsi="Segoe UI" w:cs="Segoe UI"/>
          <w:color w:val="E6E6E6"/>
          <w:sz w:val="24"/>
          <w:szCs w:val="24"/>
          <w:lang w:eastAsia="es-MX"/>
        </w:rPr>
      </w:pPr>
      <w:r w:rsidRPr="005629E8">
        <w:rPr>
          <w:rFonts w:ascii="docons" w:eastAsia="Times New Roman" w:hAnsi="docons" w:cs="Segoe UI"/>
          <w:color w:val="E6E6E6"/>
          <w:sz w:val="14"/>
          <w:szCs w:val="14"/>
          <w:bdr w:val="none" w:sz="0" w:space="0" w:color="auto" w:frame="1"/>
          <w:lang w:eastAsia="es-MX"/>
        </w:rPr>
        <w:t>Completado</w:t>
      </w:r>
      <w:r w:rsidRPr="005629E8">
        <w:rPr>
          <w:rFonts w:ascii="Segoe UI" w:eastAsia="Times New Roman" w:hAnsi="Segoe UI" w:cs="Segoe UI"/>
          <w:color w:val="E6E6E6"/>
          <w:sz w:val="18"/>
          <w:szCs w:val="18"/>
          <w:lang w:eastAsia="es-MX"/>
        </w:rPr>
        <w:t>100 XP</w:t>
      </w:r>
    </w:p>
    <w:p w14:paraId="0049E546" w14:textId="77777777" w:rsidR="005629E8" w:rsidRPr="005629E8" w:rsidRDefault="005629E8" w:rsidP="005629E8">
      <w:pPr>
        <w:numPr>
          <w:ilvl w:val="0"/>
          <w:numId w:val="4"/>
        </w:numPr>
        <w:shd w:val="clear" w:color="auto" w:fill="171717"/>
        <w:spacing w:after="0" w:line="240" w:lineRule="auto"/>
        <w:rPr>
          <w:rFonts w:ascii="Segoe UI" w:eastAsia="Times New Roman" w:hAnsi="Segoe UI" w:cs="Segoe UI"/>
          <w:sz w:val="24"/>
          <w:szCs w:val="24"/>
          <w:lang w:eastAsia="es-MX"/>
        </w:rPr>
      </w:pPr>
      <w:r w:rsidRPr="005629E8">
        <w:rPr>
          <w:rFonts w:ascii="Segoe UI" w:eastAsia="Times New Roman" w:hAnsi="Segoe UI" w:cs="Segoe UI"/>
          <w:sz w:val="24"/>
          <w:szCs w:val="24"/>
          <w:lang w:eastAsia="es-MX"/>
        </w:rPr>
        <w:t>6 minutos</w:t>
      </w:r>
    </w:p>
    <w:p w14:paraId="2DED6A00"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Como se ha mencionado en el vídeo, un </w:t>
      </w:r>
      <w:r w:rsidRPr="005629E8">
        <w:rPr>
          <w:rFonts w:ascii="Segoe UI" w:eastAsia="Times New Roman" w:hAnsi="Segoe UI" w:cs="Segoe UI"/>
          <w:i/>
          <w:iCs/>
          <w:color w:val="E6E6E6"/>
          <w:sz w:val="24"/>
          <w:szCs w:val="24"/>
          <w:lang w:eastAsia="es-MX"/>
        </w:rPr>
        <w:t>Acuerdo de Nivel de Servicio</w:t>
      </w:r>
      <w:r w:rsidRPr="005629E8">
        <w:rPr>
          <w:rFonts w:ascii="Segoe UI" w:eastAsia="Times New Roman" w:hAnsi="Segoe UI" w:cs="Segoe UI"/>
          <w:color w:val="E6E6E6"/>
          <w:sz w:val="24"/>
          <w:szCs w:val="24"/>
          <w:lang w:eastAsia="es-MX"/>
        </w:rPr>
        <w:t> (SLA) es un contrato formal entre una empresa de servicios y el cliente. En Azure, este acuerdo define los estándares de rendimiento que Microsoft se compromete a proporcionar al cliente.</w:t>
      </w:r>
    </w:p>
    <w:p w14:paraId="080844FE"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este artículo, obtendrá más información sobre los acuerdos de nivel de servicio de Azure: por qué son importantes, dónde puede encontrar el SLA de un servicio de Azure específico y qué incluye un SLA típico.</w:t>
      </w:r>
    </w:p>
    <w:p w14:paraId="404B6E9C"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lastRenderedPageBreak/>
        <w:t>¿Por qué son importantes los acuerdos de nivel de servicio?</w:t>
      </w:r>
    </w:p>
    <w:p w14:paraId="28DF2234"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La comprensión del acuerdo de nivel de servicio de los servicios de Azure que use le ayudará a conocer las garantías que puede esperar.</w:t>
      </w:r>
    </w:p>
    <w:p w14:paraId="132FDBF7"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La disponibilidad de los servicios que usa afecta al tiempo de actividad y en el rendimiento de las aplicaciones que se compilan en Azure. Comprender los acuerdos de nivel de servicio implicados puede ayudarle a definir el acuerdo de nivel de servicio que establezca con sus clientes.</w:t>
      </w:r>
    </w:p>
    <w:p w14:paraId="2E16599D"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Más adelante en este módulo, conocerá algunas estrategias que puede emplear cuando un acuerdo de nivel de servicio de Azure no satisfaga sus necesidades.</w:t>
      </w:r>
    </w:p>
    <w:p w14:paraId="2A78AF6F"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¿Dónde puedo acceder a los acuerdos de nivel de servicio de los servicios de Azure?</w:t>
      </w:r>
    </w:p>
    <w:p w14:paraId="72EEEF2B"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Puede acceder a los acuerdos de nivel de servicio desde </w:t>
      </w:r>
      <w:hyperlink r:id="rId7" w:tgtFrame="az-portal" w:history="1">
        <w:r w:rsidRPr="005629E8">
          <w:rPr>
            <w:rFonts w:ascii="Segoe UI" w:eastAsia="Times New Roman" w:hAnsi="Segoe UI" w:cs="Segoe UI"/>
            <w:color w:val="0000FF"/>
            <w:sz w:val="24"/>
            <w:szCs w:val="24"/>
            <w:u w:val="single"/>
            <w:lang w:eastAsia="es-MX"/>
          </w:rPr>
          <w:t>Contratos de nivel de servicio</w:t>
        </w:r>
      </w:hyperlink>
      <w:r w:rsidRPr="005629E8">
        <w:rPr>
          <w:rFonts w:ascii="Segoe UI" w:eastAsia="Times New Roman" w:hAnsi="Segoe UI" w:cs="Segoe UI"/>
          <w:color w:val="E6E6E6"/>
          <w:sz w:val="24"/>
          <w:szCs w:val="24"/>
          <w:lang w:eastAsia="es-MX"/>
        </w:rPr>
        <w:t>.</w:t>
      </w:r>
    </w:p>
    <w:p w14:paraId="535A2727" w14:textId="77777777" w:rsidR="005629E8" w:rsidRPr="005629E8" w:rsidRDefault="005629E8" w:rsidP="005629E8">
      <w:pPr>
        <w:spacing w:after="0" w:line="240" w:lineRule="auto"/>
        <w:rPr>
          <w:rFonts w:ascii="Segoe UI" w:eastAsia="Times New Roman" w:hAnsi="Segoe UI" w:cs="Segoe UI"/>
          <w:b/>
          <w:bCs/>
          <w:color w:val="E6E6E6"/>
          <w:sz w:val="24"/>
          <w:szCs w:val="24"/>
          <w:lang w:eastAsia="es-MX"/>
        </w:rPr>
      </w:pPr>
      <w:r w:rsidRPr="005629E8">
        <w:rPr>
          <w:rFonts w:ascii="Segoe UI" w:eastAsia="Times New Roman" w:hAnsi="Segoe UI" w:cs="Segoe UI"/>
          <w:b/>
          <w:bCs/>
          <w:color w:val="E6E6E6"/>
          <w:sz w:val="24"/>
          <w:szCs w:val="24"/>
          <w:lang w:eastAsia="es-MX"/>
        </w:rPr>
        <w:t> Nota</w:t>
      </w:r>
    </w:p>
    <w:p w14:paraId="449CD79D" w14:textId="77777777" w:rsidR="005629E8" w:rsidRPr="005629E8" w:rsidRDefault="005629E8" w:rsidP="005629E8">
      <w:pPr>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No es necesaria una suscripción de Azure para revisar los acuerdos de nivel de servicio.</w:t>
      </w:r>
    </w:p>
    <w:p w14:paraId="500870B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Cada servicio de Azure define su propio acuerdo de nivel de servicio. Los servicios de Azure están organizados por categoría.</w:t>
      </w:r>
    </w:p>
    <w:p w14:paraId="6ED8C550"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Abra el acuerdo de nivel de servicio de Azure </w:t>
      </w:r>
      <w:proofErr w:type="spellStart"/>
      <w:r w:rsidRPr="005629E8">
        <w:rPr>
          <w:rFonts w:ascii="Segoe UI" w:eastAsia="Times New Roman" w:hAnsi="Segoe UI" w:cs="Segoe UI"/>
          <w:color w:val="E6E6E6"/>
          <w:sz w:val="24"/>
          <w:szCs w:val="24"/>
          <w:lang w:eastAsia="es-MX"/>
        </w:rPr>
        <w:t>Database</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for</w:t>
      </w:r>
      <w:proofErr w:type="spellEnd"/>
      <w:r w:rsidRPr="005629E8">
        <w:rPr>
          <w:rFonts w:ascii="Segoe UI" w:eastAsia="Times New Roman" w:hAnsi="Segoe UI" w:cs="Segoe UI"/>
          <w:color w:val="E6E6E6"/>
          <w:sz w:val="24"/>
          <w:szCs w:val="24"/>
          <w:lang w:eastAsia="es-MX"/>
        </w:rPr>
        <w:t xml:space="preserve"> MySQL, una base de datos administrada que facilita a los desarrolladores el trabajo con bases de datos MySQL. En breve volveremos a este acuerdo de nivel de servicio.</w:t>
      </w:r>
    </w:p>
    <w:p w14:paraId="0D168E0B"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Para ello:</w:t>
      </w:r>
    </w:p>
    <w:p w14:paraId="3553F8C4" w14:textId="77777777" w:rsidR="005629E8" w:rsidRPr="005629E8" w:rsidRDefault="005629E8" w:rsidP="005629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Vaya a </w:t>
      </w:r>
      <w:hyperlink r:id="rId8" w:tgtFrame="az-portal" w:history="1">
        <w:r w:rsidRPr="005629E8">
          <w:rPr>
            <w:rFonts w:ascii="Segoe UI" w:eastAsia="Times New Roman" w:hAnsi="Segoe UI" w:cs="Segoe UI"/>
            <w:color w:val="0000FF"/>
            <w:sz w:val="24"/>
            <w:szCs w:val="24"/>
            <w:u w:val="single"/>
            <w:lang w:eastAsia="es-MX"/>
          </w:rPr>
          <w:t>Contratos de nivel de servicio</w:t>
        </w:r>
      </w:hyperlink>
      <w:r w:rsidRPr="005629E8">
        <w:rPr>
          <w:rFonts w:ascii="Segoe UI" w:eastAsia="Times New Roman" w:hAnsi="Segoe UI" w:cs="Segoe UI"/>
          <w:color w:val="E6E6E6"/>
          <w:sz w:val="24"/>
          <w:szCs w:val="24"/>
          <w:lang w:eastAsia="es-MX"/>
        </w:rPr>
        <w:t>.</w:t>
      </w:r>
    </w:p>
    <w:p w14:paraId="717B3697" w14:textId="77777777" w:rsidR="005629E8" w:rsidRPr="005629E8" w:rsidRDefault="005629E8" w:rsidP="005629E8">
      <w:pPr>
        <w:numPr>
          <w:ilvl w:val="0"/>
          <w:numId w:val="5"/>
        </w:numPr>
        <w:shd w:val="clear" w:color="auto" w:fill="171717"/>
        <w:spacing w:after="0"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la categoría </w:t>
      </w:r>
      <w:r w:rsidRPr="005629E8">
        <w:rPr>
          <w:rFonts w:ascii="Segoe UI" w:eastAsia="Times New Roman" w:hAnsi="Segoe UI" w:cs="Segoe UI"/>
          <w:b/>
          <w:bCs/>
          <w:color w:val="E6E6E6"/>
          <w:sz w:val="24"/>
          <w:szCs w:val="24"/>
          <w:lang w:eastAsia="es-MX"/>
        </w:rPr>
        <w:t>Bases de datos</w:t>
      </w:r>
      <w:r w:rsidRPr="005629E8">
        <w:rPr>
          <w:rFonts w:ascii="Segoe UI" w:eastAsia="Times New Roman" w:hAnsi="Segoe UI" w:cs="Segoe UI"/>
          <w:color w:val="E6E6E6"/>
          <w:sz w:val="24"/>
          <w:szCs w:val="24"/>
          <w:lang w:eastAsia="es-MX"/>
        </w:rPr>
        <w:t>, seleccione </w:t>
      </w:r>
      <w:r w:rsidRPr="005629E8">
        <w:rPr>
          <w:rFonts w:ascii="Segoe UI" w:eastAsia="Times New Roman" w:hAnsi="Segoe UI" w:cs="Segoe UI"/>
          <w:b/>
          <w:bCs/>
          <w:color w:val="E6E6E6"/>
          <w:sz w:val="24"/>
          <w:szCs w:val="24"/>
          <w:lang w:eastAsia="es-MX"/>
        </w:rPr>
        <w:t xml:space="preserve">Azure </w:t>
      </w:r>
      <w:proofErr w:type="spellStart"/>
      <w:r w:rsidRPr="005629E8">
        <w:rPr>
          <w:rFonts w:ascii="Segoe UI" w:eastAsia="Times New Roman" w:hAnsi="Segoe UI" w:cs="Segoe UI"/>
          <w:b/>
          <w:bCs/>
          <w:color w:val="E6E6E6"/>
          <w:sz w:val="24"/>
          <w:szCs w:val="24"/>
          <w:lang w:eastAsia="es-MX"/>
        </w:rPr>
        <w:t>Database</w:t>
      </w:r>
      <w:proofErr w:type="spellEnd"/>
      <w:r w:rsidRPr="005629E8">
        <w:rPr>
          <w:rFonts w:ascii="Segoe UI" w:eastAsia="Times New Roman" w:hAnsi="Segoe UI" w:cs="Segoe UI"/>
          <w:b/>
          <w:bCs/>
          <w:color w:val="E6E6E6"/>
          <w:sz w:val="24"/>
          <w:szCs w:val="24"/>
          <w:lang w:eastAsia="es-MX"/>
        </w:rPr>
        <w:t xml:space="preserve"> </w:t>
      </w:r>
      <w:proofErr w:type="spellStart"/>
      <w:r w:rsidRPr="005629E8">
        <w:rPr>
          <w:rFonts w:ascii="Segoe UI" w:eastAsia="Times New Roman" w:hAnsi="Segoe UI" w:cs="Segoe UI"/>
          <w:b/>
          <w:bCs/>
          <w:color w:val="E6E6E6"/>
          <w:sz w:val="24"/>
          <w:szCs w:val="24"/>
          <w:lang w:eastAsia="es-MX"/>
        </w:rPr>
        <w:t>for</w:t>
      </w:r>
      <w:proofErr w:type="spellEnd"/>
      <w:r w:rsidRPr="005629E8">
        <w:rPr>
          <w:rFonts w:ascii="Segoe UI" w:eastAsia="Times New Roman" w:hAnsi="Segoe UI" w:cs="Segoe UI"/>
          <w:b/>
          <w:bCs/>
          <w:color w:val="E6E6E6"/>
          <w:sz w:val="24"/>
          <w:szCs w:val="24"/>
          <w:lang w:eastAsia="es-MX"/>
        </w:rPr>
        <w:t xml:space="preserve"> MySQL</w:t>
      </w:r>
      <w:r w:rsidRPr="005629E8">
        <w:rPr>
          <w:rFonts w:ascii="Segoe UI" w:eastAsia="Times New Roman" w:hAnsi="Segoe UI" w:cs="Segoe UI"/>
          <w:color w:val="E6E6E6"/>
          <w:sz w:val="24"/>
          <w:szCs w:val="24"/>
          <w:lang w:eastAsia="es-MX"/>
        </w:rPr>
        <w:t>.</w:t>
      </w:r>
    </w:p>
    <w:p w14:paraId="1EEA3253" w14:textId="6D585950"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noProof/>
          <w:color w:val="E6E6E6"/>
          <w:sz w:val="24"/>
          <w:szCs w:val="24"/>
          <w:lang w:eastAsia="es-MX"/>
        </w:rPr>
        <w:lastRenderedPageBreak/>
        <w:drawing>
          <wp:inline distT="0" distB="0" distL="0" distR="0" wp14:anchorId="4E9BCFB5" wp14:editId="037652EF">
            <wp:extent cx="5612130" cy="1626870"/>
            <wp:effectExtent l="0" t="0" r="7620" b="0"/>
            <wp:docPr id="2" name="Picture 2" descr="A screenshot of the SLA landing page showing the Databases category and the Azure Database for MySQ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the SLA landing page showing the Databases category and the Azure Database for MySQL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626870"/>
                    </a:xfrm>
                    <a:prstGeom prst="rect">
                      <a:avLst/>
                    </a:prstGeom>
                    <a:noFill/>
                    <a:ln>
                      <a:noFill/>
                    </a:ln>
                  </pic:spPr>
                </pic:pic>
              </a:graphicData>
            </a:graphic>
          </wp:inline>
        </w:drawing>
      </w:r>
    </w:p>
    <w:p w14:paraId="19994A2F"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¿Qué incluye un acuerdo de nivel de servicio típico?</w:t>
      </w:r>
    </w:p>
    <w:p w14:paraId="28BFB11C"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Un acuerdo de nivel de servicio típico cuenta con estas secciones:</w:t>
      </w:r>
    </w:p>
    <w:p w14:paraId="5CFA5650" w14:textId="77777777" w:rsidR="005629E8" w:rsidRPr="005629E8" w:rsidRDefault="005629E8" w:rsidP="005629E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b/>
          <w:bCs/>
          <w:color w:val="E6E6E6"/>
          <w:sz w:val="24"/>
          <w:szCs w:val="24"/>
          <w:lang w:eastAsia="es-MX"/>
        </w:rPr>
        <w:t>Introducción</w:t>
      </w:r>
    </w:p>
    <w:p w14:paraId="0ACE1E6C"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esta sección se explica qué esperar del acuerdo de nivel de servicio, por ejemplo, su ámbito y la repercusión que las renovaciones de suscripción pueden tener en las condiciones del acuerdo.</w:t>
      </w:r>
    </w:p>
    <w:p w14:paraId="2071C32B" w14:textId="77777777" w:rsidR="005629E8" w:rsidRPr="005629E8" w:rsidRDefault="005629E8" w:rsidP="005629E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b/>
          <w:bCs/>
          <w:color w:val="E6E6E6"/>
          <w:sz w:val="24"/>
          <w:szCs w:val="24"/>
          <w:lang w:eastAsia="es-MX"/>
        </w:rPr>
        <w:t>Términos generales</w:t>
      </w:r>
    </w:p>
    <w:p w14:paraId="4759095C"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Esta sección contiene los términos empleados en todo el acuerdo de nivel de servicio, de modo que ambas partes (el cliente y Microsoft) entiendan y compartan el mismo vocabulario. Por ejemplo, en esta sección se puede definir el significado de tiempo de inactividad, incidentes y códigos de error.</w:t>
      </w:r>
    </w:p>
    <w:p w14:paraId="3DC8E5DD"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esta sección también se definen las condiciones generales del acuerdo, que incluyen una explicación de cómo enviar una demanda o recibir créditos por cualquier problema de rendimiento o disponibilidad, así como las limitaciones del acuerdo.</w:t>
      </w:r>
    </w:p>
    <w:p w14:paraId="5F272826" w14:textId="77777777" w:rsidR="005629E8" w:rsidRPr="005629E8" w:rsidRDefault="005629E8" w:rsidP="005629E8">
      <w:pPr>
        <w:numPr>
          <w:ilvl w:val="0"/>
          <w:numId w:val="6"/>
        </w:num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b/>
          <w:bCs/>
          <w:color w:val="E6E6E6"/>
          <w:sz w:val="24"/>
          <w:szCs w:val="24"/>
          <w:lang w:eastAsia="es-MX"/>
        </w:rPr>
        <w:t>Detalles del Acuerdo de Nivel de Servicio</w:t>
      </w:r>
    </w:p>
    <w:p w14:paraId="7C3C23FA"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esta sección se definen las garantías específicas del servicio. Los compromisos de rendimiento se miden normalmente en porcentajes, que normalmente están comprendidos entre el 99,9 % ("tres nueves") y el 99,99 % ("cuatro nueves").</w:t>
      </w:r>
    </w:p>
    <w:p w14:paraId="2A3D166C"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lastRenderedPageBreak/>
        <w:t>Por lo general, el compromiso de rendimiento principal se centra en el </w:t>
      </w:r>
      <w:r w:rsidRPr="005629E8">
        <w:rPr>
          <w:rFonts w:ascii="Segoe UI" w:eastAsia="Times New Roman" w:hAnsi="Segoe UI" w:cs="Segoe UI"/>
          <w:i/>
          <w:iCs/>
          <w:color w:val="E6E6E6"/>
          <w:sz w:val="24"/>
          <w:szCs w:val="24"/>
          <w:lang w:eastAsia="es-MX"/>
        </w:rPr>
        <w:t>tiempo de actividad</w:t>
      </w:r>
      <w:r w:rsidRPr="005629E8">
        <w:rPr>
          <w:rFonts w:ascii="Segoe UI" w:eastAsia="Times New Roman" w:hAnsi="Segoe UI" w:cs="Segoe UI"/>
          <w:color w:val="E6E6E6"/>
          <w:sz w:val="24"/>
          <w:szCs w:val="24"/>
          <w:lang w:eastAsia="es-MX"/>
        </w:rPr>
        <w:t>, es decir, en el porcentaje de tiempo que un producto o servicio está operativo y sin problemas. Algunos acuerdos de nivel de servicio se centran también en otros factores, como la </w:t>
      </w:r>
      <w:r w:rsidRPr="005629E8">
        <w:rPr>
          <w:rFonts w:ascii="Segoe UI" w:eastAsia="Times New Roman" w:hAnsi="Segoe UI" w:cs="Segoe UI"/>
          <w:i/>
          <w:iCs/>
          <w:color w:val="E6E6E6"/>
          <w:sz w:val="24"/>
          <w:szCs w:val="24"/>
          <w:lang w:eastAsia="es-MX"/>
        </w:rPr>
        <w:t>latencia</w:t>
      </w:r>
      <w:r w:rsidRPr="005629E8">
        <w:rPr>
          <w:rFonts w:ascii="Segoe UI" w:eastAsia="Times New Roman" w:hAnsi="Segoe UI" w:cs="Segoe UI"/>
          <w:color w:val="E6E6E6"/>
          <w:sz w:val="24"/>
          <w:szCs w:val="24"/>
          <w:lang w:eastAsia="es-MX"/>
        </w:rPr>
        <w:t> o la rapidez con la que el servicio debe responder a una solicitud.</w:t>
      </w:r>
    </w:p>
    <w:p w14:paraId="0491F698" w14:textId="77777777" w:rsidR="005629E8" w:rsidRPr="005629E8" w:rsidRDefault="005629E8" w:rsidP="005629E8">
      <w:pPr>
        <w:shd w:val="clear" w:color="auto" w:fill="171717"/>
        <w:spacing w:before="100" w:beforeAutospacing="1" w:after="100" w:afterAutospacing="1" w:line="240" w:lineRule="auto"/>
        <w:ind w:left="1290"/>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esta sección también se definen las condiciones adicionales que son específicas de este servicio.</w:t>
      </w:r>
    </w:p>
    <w:p w14:paraId="6EADD20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Dedique un momento a leer el acuerdo de nivel de servicio de Azure </w:t>
      </w:r>
      <w:proofErr w:type="spellStart"/>
      <w:r w:rsidRPr="005629E8">
        <w:rPr>
          <w:rFonts w:ascii="Segoe UI" w:eastAsia="Times New Roman" w:hAnsi="Segoe UI" w:cs="Segoe UI"/>
          <w:color w:val="E6E6E6"/>
          <w:sz w:val="24"/>
          <w:szCs w:val="24"/>
          <w:lang w:eastAsia="es-MX"/>
        </w:rPr>
        <w:t>Database</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for</w:t>
      </w:r>
      <w:proofErr w:type="spellEnd"/>
      <w:r w:rsidRPr="005629E8">
        <w:rPr>
          <w:rFonts w:ascii="Segoe UI" w:eastAsia="Times New Roman" w:hAnsi="Segoe UI" w:cs="Segoe UI"/>
          <w:color w:val="E6E6E6"/>
          <w:sz w:val="24"/>
          <w:szCs w:val="24"/>
          <w:lang w:eastAsia="es-MX"/>
        </w:rPr>
        <w:t xml:space="preserve"> MySQL.</w:t>
      </w:r>
    </w:p>
    <w:p w14:paraId="1D5F21D9"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Verá que este acuerdo de nivel de servicio se centra en el tiempo de actividad. Azure </w:t>
      </w:r>
      <w:proofErr w:type="spellStart"/>
      <w:r w:rsidRPr="005629E8">
        <w:rPr>
          <w:rFonts w:ascii="Segoe UI" w:eastAsia="Times New Roman" w:hAnsi="Segoe UI" w:cs="Segoe UI"/>
          <w:color w:val="E6E6E6"/>
          <w:sz w:val="24"/>
          <w:szCs w:val="24"/>
          <w:lang w:eastAsia="es-MX"/>
        </w:rPr>
        <w:t>Database</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for</w:t>
      </w:r>
      <w:proofErr w:type="spellEnd"/>
      <w:r w:rsidRPr="005629E8">
        <w:rPr>
          <w:rFonts w:ascii="Segoe UI" w:eastAsia="Times New Roman" w:hAnsi="Segoe UI" w:cs="Segoe UI"/>
          <w:color w:val="E6E6E6"/>
          <w:sz w:val="24"/>
          <w:szCs w:val="24"/>
          <w:lang w:eastAsia="es-MX"/>
        </w:rPr>
        <w:t xml:space="preserve"> MySQL garantiza un tiempo de actividad del 99,99 % ("cuatro nueves"). Esto significa que se garantiza que el servicio se ejecutará y estará disponible para procesar las solicitudes el 99,99 % del tiempo.</w:t>
      </w:r>
    </w:p>
    <w:p w14:paraId="65A24A70"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¿Qué relación hay entre los porcentajes y el tiempo de inactividad total?</w:t>
      </w:r>
    </w:p>
    <w:p w14:paraId="1E0E84E7"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El </w:t>
      </w:r>
      <w:r w:rsidRPr="005629E8">
        <w:rPr>
          <w:rFonts w:ascii="Segoe UI" w:eastAsia="Times New Roman" w:hAnsi="Segoe UI" w:cs="Segoe UI"/>
          <w:i/>
          <w:iCs/>
          <w:color w:val="E6E6E6"/>
          <w:sz w:val="24"/>
          <w:szCs w:val="24"/>
          <w:lang w:eastAsia="es-MX"/>
        </w:rPr>
        <w:t>tiempo de inactividad</w:t>
      </w:r>
      <w:r w:rsidRPr="005629E8">
        <w:rPr>
          <w:rFonts w:ascii="Segoe UI" w:eastAsia="Times New Roman" w:hAnsi="Segoe UI" w:cs="Segoe UI"/>
          <w:color w:val="E6E6E6"/>
          <w:sz w:val="24"/>
          <w:szCs w:val="24"/>
          <w:lang w:eastAsia="es-MX"/>
        </w:rPr>
        <w:t> es el período de tiempo que el servicio no está disponible.</w:t>
      </w:r>
    </w:p>
    <w:p w14:paraId="2E0D6012"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La diferencia entre el 99,9 % y el 99,99 % puede parecer pequeña, pero es importante comprender lo que significan estos números en cuanto al tiempo de inactividad total.</w:t>
      </w:r>
    </w:p>
    <w:p w14:paraId="522B5753"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esta tabla se ofrece una idea de cómo se reduce el tiempo de inactividad total a medida que el porcentaje del acuerdo de nivel de servicio aumenta del 99 % al 99,999 %:</w:t>
      </w:r>
    </w:p>
    <w:tbl>
      <w:tblPr>
        <w:tblW w:w="12927" w:type="dxa"/>
        <w:tblCellMar>
          <w:top w:w="15" w:type="dxa"/>
          <w:left w:w="15" w:type="dxa"/>
          <w:bottom w:w="15" w:type="dxa"/>
          <w:right w:w="15" w:type="dxa"/>
        </w:tblCellMar>
        <w:tblLook w:val="04A0" w:firstRow="1" w:lastRow="0" w:firstColumn="1" w:lastColumn="0" w:noHBand="0" w:noVBand="1"/>
      </w:tblPr>
      <w:tblGrid>
        <w:gridCol w:w="3869"/>
        <w:gridCol w:w="3235"/>
        <w:gridCol w:w="2915"/>
        <w:gridCol w:w="2908"/>
      </w:tblGrid>
      <w:tr w:rsidR="005629E8" w:rsidRPr="005629E8" w14:paraId="25D51619" w14:textId="77777777" w:rsidTr="005629E8">
        <w:trPr>
          <w:tblHeader/>
        </w:trPr>
        <w:tc>
          <w:tcPr>
            <w:tcW w:w="0" w:type="auto"/>
            <w:hideMark/>
          </w:tcPr>
          <w:p w14:paraId="63C1DB40"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Porcentaje de acuerdo de nivel de servicio</w:t>
            </w:r>
          </w:p>
        </w:tc>
        <w:tc>
          <w:tcPr>
            <w:tcW w:w="0" w:type="auto"/>
            <w:hideMark/>
          </w:tcPr>
          <w:p w14:paraId="1F0506C3"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Tiempo de inactividad por semana</w:t>
            </w:r>
          </w:p>
        </w:tc>
        <w:tc>
          <w:tcPr>
            <w:tcW w:w="0" w:type="auto"/>
            <w:hideMark/>
          </w:tcPr>
          <w:p w14:paraId="1EE11885"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Tiempo de inactividad por mes</w:t>
            </w:r>
          </w:p>
        </w:tc>
        <w:tc>
          <w:tcPr>
            <w:tcW w:w="0" w:type="auto"/>
            <w:hideMark/>
          </w:tcPr>
          <w:p w14:paraId="3C766A34"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Tiempo de inactividad por año</w:t>
            </w:r>
          </w:p>
        </w:tc>
      </w:tr>
      <w:tr w:rsidR="005629E8" w:rsidRPr="005629E8" w14:paraId="5FD488EF" w14:textId="77777777" w:rsidTr="005629E8">
        <w:tc>
          <w:tcPr>
            <w:tcW w:w="0" w:type="auto"/>
            <w:hideMark/>
          </w:tcPr>
          <w:p w14:paraId="7ABD8250"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99</w:t>
            </w:r>
          </w:p>
        </w:tc>
        <w:tc>
          <w:tcPr>
            <w:tcW w:w="0" w:type="auto"/>
            <w:hideMark/>
          </w:tcPr>
          <w:p w14:paraId="533D30F8"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1,68 horas</w:t>
            </w:r>
          </w:p>
        </w:tc>
        <w:tc>
          <w:tcPr>
            <w:tcW w:w="0" w:type="auto"/>
            <w:hideMark/>
          </w:tcPr>
          <w:p w14:paraId="6D8C8850"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7,2 horas</w:t>
            </w:r>
          </w:p>
        </w:tc>
        <w:tc>
          <w:tcPr>
            <w:tcW w:w="0" w:type="auto"/>
            <w:hideMark/>
          </w:tcPr>
          <w:p w14:paraId="43564652"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3,65 días</w:t>
            </w:r>
          </w:p>
        </w:tc>
      </w:tr>
      <w:tr w:rsidR="005629E8" w:rsidRPr="005629E8" w14:paraId="2C771BCD" w14:textId="77777777" w:rsidTr="005629E8">
        <w:tc>
          <w:tcPr>
            <w:tcW w:w="0" w:type="auto"/>
            <w:hideMark/>
          </w:tcPr>
          <w:p w14:paraId="77962E29"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99,9</w:t>
            </w:r>
          </w:p>
        </w:tc>
        <w:tc>
          <w:tcPr>
            <w:tcW w:w="0" w:type="auto"/>
            <w:hideMark/>
          </w:tcPr>
          <w:p w14:paraId="5775C5F7"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10,1 minutos</w:t>
            </w:r>
          </w:p>
        </w:tc>
        <w:tc>
          <w:tcPr>
            <w:tcW w:w="0" w:type="auto"/>
            <w:hideMark/>
          </w:tcPr>
          <w:p w14:paraId="5C38844C"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43,2 minutos</w:t>
            </w:r>
          </w:p>
        </w:tc>
        <w:tc>
          <w:tcPr>
            <w:tcW w:w="0" w:type="auto"/>
            <w:hideMark/>
          </w:tcPr>
          <w:p w14:paraId="7F384334"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8,76 horas</w:t>
            </w:r>
          </w:p>
        </w:tc>
      </w:tr>
      <w:tr w:rsidR="005629E8" w:rsidRPr="005629E8" w14:paraId="6AA2BC1A" w14:textId="77777777" w:rsidTr="005629E8">
        <w:tc>
          <w:tcPr>
            <w:tcW w:w="0" w:type="auto"/>
            <w:hideMark/>
          </w:tcPr>
          <w:p w14:paraId="70724F54"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99,95</w:t>
            </w:r>
          </w:p>
        </w:tc>
        <w:tc>
          <w:tcPr>
            <w:tcW w:w="0" w:type="auto"/>
            <w:hideMark/>
          </w:tcPr>
          <w:p w14:paraId="6C5A2AC5"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5 minutos</w:t>
            </w:r>
          </w:p>
        </w:tc>
        <w:tc>
          <w:tcPr>
            <w:tcW w:w="0" w:type="auto"/>
            <w:hideMark/>
          </w:tcPr>
          <w:p w14:paraId="5A27BF13"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21,6 minutos</w:t>
            </w:r>
          </w:p>
        </w:tc>
        <w:tc>
          <w:tcPr>
            <w:tcW w:w="0" w:type="auto"/>
            <w:hideMark/>
          </w:tcPr>
          <w:p w14:paraId="41DA3151"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4,38 horas</w:t>
            </w:r>
          </w:p>
        </w:tc>
      </w:tr>
      <w:tr w:rsidR="005629E8" w:rsidRPr="005629E8" w14:paraId="6F5FA111" w14:textId="77777777" w:rsidTr="005629E8">
        <w:tc>
          <w:tcPr>
            <w:tcW w:w="0" w:type="auto"/>
            <w:hideMark/>
          </w:tcPr>
          <w:p w14:paraId="00171CD2"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99,99</w:t>
            </w:r>
          </w:p>
        </w:tc>
        <w:tc>
          <w:tcPr>
            <w:tcW w:w="0" w:type="auto"/>
            <w:hideMark/>
          </w:tcPr>
          <w:p w14:paraId="11B962EF"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1,01 minutos</w:t>
            </w:r>
          </w:p>
        </w:tc>
        <w:tc>
          <w:tcPr>
            <w:tcW w:w="0" w:type="auto"/>
            <w:hideMark/>
          </w:tcPr>
          <w:p w14:paraId="1015189C"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4,32 minutos</w:t>
            </w:r>
          </w:p>
        </w:tc>
        <w:tc>
          <w:tcPr>
            <w:tcW w:w="0" w:type="auto"/>
            <w:hideMark/>
          </w:tcPr>
          <w:p w14:paraId="145DD922"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52,56 minutos</w:t>
            </w:r>
          </w:p>
        </w:tc>
      </w:tr>
      <w:tr w:rsidR="005629E8" w:rsidRPr="005629E8" w14:paraId="64DD1EDE" w14:textId="77777777" w:rsidTr="005629E8">
        <w:tc>
          <w:tcPr>
            <w:tcW w:w="0" w:type="auto"/>
            <w:hideMark/>
          </w:tcPr>
          <w:p w14:paraId="42B30E44"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99,999</w:t>
            </w:r>
          </w:p>
        </w:tc>
        <w:tc>
          <w:tcPr>
            <w:tcW w:w="0" w:type="auto"/>
            <w:hideMark/>
          </w:tcPr>
          <w:p w14:paraId="6A372F87"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6 segundos</w:t>
            </w:r>
          </w:p>
        </w:tc>
        <w:tc>
          <w:tcPr>
            <w:tcW w:w="0" w:type="auto"/>
            <w:hideMark/>
          </w:tcPr>
          <w:p w14:paraId="62272C4D"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25,9 segundos</w:t>
            </w:r>
          </w:p>
        </w:tc>
        <w:tc>
          <w:tcPr>
            <w:tcW w:w="0" w:type="auto"/>
            <w:hideMark/>
          </w:tcPr>
          <w:p w14:paraId="13DB7325"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5,26 minutos</w:t>
            </w:r>
          </w:p>
        </w:tc>
      </w:tr>
    </w:tbl>
    <w:p w14:paraId="11F60EFB"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lastRenderedPageBreak/>
        <w:t>Estas cantidades son acumulativas, lo que significa que la duración de varios cortes de servicio diferentes se combina o se suma.</w:t>
      </w:r>
    </w:p>
    <w:p w14:paraId="27A96EFA"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¿Qué son los créditos de servicio?</w:t>
      </w:r>
    </w:p>
    <w:p w14:paraId="2A1344B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Un </w:t>
      </w:r>
      <w:r w:rsidRPr="005629E8">
        <w:rPr>
          <w:rFonts w:ascii="Segoe UI" w:eastAsia="Times New Roman" w:hAnsi="Segoe UI" w:cs="Segoe UI"/>
          <w:i/>
          <w:iCs/>
          <w:color w:val="E6E6E6"/>
          <w:sz w:val="24"/>
          <w:szCs w:val="24"/>
          <w:lang w:eastAsia="es-MX"/>
        </w:rPr>
        <w:t>crédito de servicio</w:t>
      </w:r>
      <w:r w:rsidRPr="005629E8">
        <w:rPr>
          <w:rFonts w:ascii="Segoe UI" w:eastAsia="Times New Roman" w:hAnsi="Segoe UI" w:cs="Segoe UI"/>
          <w:color w:val="E6E6E6"/>
          <w:sz w:val="24"/>
          <w:szCs w:val="24"/>
          <w:lang w:eastAsia="es-MX"/>
        </w:rPr>
        <w:t> es el porcentaje del precio que ha pagado que se le abonará conforme al proceso de aprobación de reclamaciones.</w:t>
      </w:r>
    </w:p>
    <w:p w14:paraId="403FD66E"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Un acuerdo de nivel de servicio describe la respuesta dada por Microsoft cuando un servicio de Azure no opera según su especificación. Por ejemplo, puede obtener un descuento compensatorio en su factura de Azure si un servicio no funciona conforme al acuerdo de nivel de servicio.</w:t>
      </w:r>
    </w:p>
    <w:p w14:paraId="6C120B68"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Por lo general, los créditos aumentan a medida que el tiempo de actividad se reduce. A continuación, se muestra cómo se aplican los créditos de Azure </w:t>
      </w:r>
      <w:proofErr w:type="spellStart"/>
      <w:r w:rsidRPr="005629E8">
        <w:rPr>
          <w:rFonts w:ascii="Segoe UI" w:eastAsia="Times New Roman" w:hAnsi="Segoe UI" w:cs="Segoe UI"/>
          <w:color w:val="E6E6E6"/>
          <w:sz w:val="24"/>
          <w:szCs w:val="24"/>
          <w:lang w:eastAsia="es-MX"/>
        </w:rPr>
        <w:t>Database</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for</w:t>
      </w:r>
      <w:proofErr w:type="spellEnd"/>
      <w:r w:rsidRPr="005629E8">
        <w:rPr>
          <w:rFonts w:ascii="Segoe UI" w:eastAsia="Times New Roman" w:hAnsi="Segoe UI" w:cs="Segoe UI"/>
          <w:color w:val="E6E6E6"/>
          <w:sz w:val="24"/>
          <w:szCs w:val="24"/>
          <w:lang w:eastAsia="es-MX"/>
        </w:rPr>
        <w:t xml:space="preserve"> MySQL según el tiempo de actividad:</w:t>
      </w:r>
    </w:p>
    <w:tbl>
      <w:tblPr>
        <w:tblW w:w="12927" w:type="dxa"/>
        <w:tblCellMar>
          <w:top w:w="15" w:type="dxa"/>
          <w:left w:w="15" w:type="dxa"/>
          <w:bottom w:w="15" w:type="dxa"/>
          <w:right w:w="15" w:type="dxa"/>
        </w:tblCellMar>
        <w:tblLook w:val="04A0" w:firstRow="1" w:lastRow="0" w:firstColumn="1" w:lastColumn="0" w:noHBand="0" w:noVBand="1"/>
      </w:tblPr>
      <w:tblGrid>
        <w:gridCol w:w="7344"/>
        <w:gridCol w:w="5583"/>
      </w:tblGrid>
      <w:tr w:rsidR="005629E8" w:rsidRPr="005629E8" w14:paraId="0E996FA4" w14:textId="77777777" w:rsidTr="005629E8">
        <w:trPr>
          <w:tblHeader/>
        </w:trPr>
        <w:tc>
          <w:tcPr>
            <w:tcW w:w="0" w:type="auto"/>
            <w:hideMark/>
          </w:tcPr>
          <w:p w14:paraId="0B4C7FA2"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Porcentaje de tiempo de actividad mensual</w:t>
            </w:r>
          </w:p>
        </w:tc>
        <w:tc>
          <w:tcPr>
            <w:tcW w:w="0" w:type="auto"/>
            <w:hideMark/>
          </w:tcPr>
          <w:p w14:paraId="10C91E3B" w14:textId="77777777" w:rsidR="005629E8" w:rsidRPr="005629E8" w:rsidRDefault="005629E8" w:rsidP="005629E8">
            <w:pPr>
              <w:spacing w:after="0" w:line="240" w:lineRule="auto"/>
              <w:rPr>
                <w:rFonts w:ascii="Times New Roman" w:eastAsia="Times New Roman" w:hAnsi="Times New Roman" w:cs="Times New Roman"/>
                <w:b/>
                <w:bCs/>
                <w:sz w:val="24"/>
                <w:szCs w:val="24"/>
                <w:lang w:eastAsia="es-MX"/>
              </w:rPr>
            </w:pPr>
            <w:r w:rsidRPr="005629E8">
              <w:rPr>
                <w:rFonts w:ascii="Times New Roman" w:eastAsia="Times New Roman" w:hAnsi="Times New Roman" w:cs="Times New Roman"/>
                <w:b/>
                <w:bCs/>
                <w:sz w:val="24"/>
                <w:szCs w:val="24"/>
                <w:lang w:eastAsia="es-MX"/>
              </w:rPr>
              <w:t>Porcentaje de crédito de servicio</w:t>
            </w:r>
          </w:p>
        </w:tc>
      </w:tr>
      <w:tr w:rsidR="005629E8" w:rsidRPr="005629E8" w14:paraId="435C24B4" w14:textId="77777777" w:rsidTr="005629E8">
        <w:tc>
          <w:tcPr>
            <w:tcW w:w="0" w:type="auto"/>
            <w:hideMark/>
          </w:tcPr>
          <w:p w14:paraId="2F5C8E84"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&lt; 99.99</w:t>
            </w:r>
          </w:p>
        </w:tc>
        <w:tc>
          <w:tcPr>
            <w:tcW w:w="0" w:type="auto"/>
            <w:hideMark/>
          </w:tcPr>
          <w:p w14:paraId="0CD430AD"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10</w:t>
            </w:r>
          </w:p>
        </w:tc>
      </w:tr>
      <w:tr w:rsidR="005629E8" w:rsidRPr="005629E8" w14:paraId="6D389C5F" w14:textId="77777777" w:rsidTr="005629E8">
        <w:tc>
          <w:tcPr>
            <w:tcW w:w="0" w:type="auto"/>
            <w:hideMark/>
          </w:tcPr>
          <w:p w14:paraId="40F8EEA6"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&lt; 99</w:t>
            </w:r>
          </w:p>
        </w:tc>
        <w:tc>
          <w:tcPr>
            <w:tcW w:w="0" w:type="auto"/>
            <w:hideMark/>
          </w:tcPr>
          <w:p w14:paraId="28E8274E"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25</w:t>
            </w:r>
          </w:p>
        </w:tc>
      </w:tr>
      <w:tr w:rsidR="005629E8" w:rsidRPr="005629E8" w14:paraId="72421A3B" w14:textId="77777777" w:rsidTr="005629E8">
        <w:tc>
          <w:tcPr>
            <w:tcW w:w="0" w:type="auto"/>
            <w:hideMark/>
          </w:tcPr>
          <w:p w14:paraId="2FD3DBD4"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&lt; 95</w:t>
            </w:r>
          </w:p>
        </w:tc>
        <w:tc>
          <w:tcPr>
            <w:tcW w:w="0" w:type="auto"/>
            <w:hideMark/>
          </w:tcPr>
          <w:p w14:paraId="6DA51C78" w14:textId="77777777" w:rsidR="005629E8" w:rsidRPr="005629E8" w:rsidRDefault="005629E8" w:rsidP="005629E8">
            <w:pPr>
              <w:spacing w:after="0" w:line="240" w:lineRule="auto"/>
              <w:rPr>
                <w:rFonts w:ascii="Times New Roman" w:eastAsia="Times New Roman" w:hAnsi="Times New Roman" w:cs="Times New Roman"/>
                <w:sz w:val="24"/>
                <w:szCs w:val="24"/>
                <w:lang w:eastAsia="es-MX"/>
              </w:rPr>
            </w:pPr>
            <w:r w:rsidRPr="005629E8">
              <w:rPr>
                <w:rFonts w:ascii="Times New Roman" w:eastAsia="Times New Roman" w:hAnsi="Times New Roman" w:cs="Times New Roman"/>
                <w:sz w:val="24"/>
                <w:szCs w:val="24"/>
                <w:lang w:eastAsia="es-MX"/>
              </w:rPr>
              <w:t>100</w:t>
            </w:r>
          </w:p>
        </w:tc>
      </w:tr>
    </w:tbl>
    <w:p w14:paraId="6CF54656"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¿Cuál es el acuerdo de nivel de servicio de los servicios gratuitos?</w:t>
      </w:r>
    </w:p>
    <w:p w14:paraId="189849A8"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Normalmente, los productos gratuitos no tienen un acuerdo de nivel de servicio.</w:t>
      </w:r>
    </w:p>
    <w:p w14:paraId="254E619D"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Por ejemplo, muchos servicios de Azure proporcionan un nivel </w:t>
      </w:r>
      <w:r w:rsidRPr="005629E8">
        <w:rPr>
          <w:rFonts w:ascii="Segoe UI" w:eastAsia="Times New Roman" w:hAnsi="Segoe UI" w:cs="Segoe UI"/>
          <w:i/>
          <w:iCs/>
          <w:color w:val="E6E6E6"/>
          <w:sz w:val="24"/>
          <w:szCs w:val="24"/>
          <w:lang w:eastAsia="es-MX"/>
        </w:rPr>
        <w:t>gratuito</w:t>
      </w:r>
      <w:r w:rsidRPr="005629E8">
        <w:rPr>
          <w:rFonts w:ascii="Segoe UI" w:eastAsia="Times New Roman" w:hAnsi="Segoe UI" w:cs="Segoe UI"/>
          <w:color w:val="E6E6E6"/>
          <w:sz w:val="24"/>
          <w:szCs w:val="24"/>
          <w:lang w:eastAsia="es-MX"/>
        </w:rPr>
        <w:t> o </w:t>
      </w:r>
      <w:r w:rsidRPr="005629E8">
        <w:rPr>
          <w:rFonts w:ascii="Segoe UI" w:eastAsia="Times New Roman" w:hAnsi="Segoe UI" w:cs="Segoe UI"/>
          <w:i/>
          <w:iCs/>
          <w:color w:val="E6E6E6"/>
          <w:sz w:val="24"/>
          <w:szCs w:val="24"/>
          <w:lang w:eastAsia="es-MX"/>
        </w:rPr>
        <w:t>compartido</w:t>
      </w:r>
      <w:r w:rsidRPr="005629E8">
        <w:rPr>
          <w:rFonts w:ascii="Segoe UI" w:eastAsia="Times New Roman" w:hAnsi="Segoe UI" w:cs="Segoe UI"/>
          <w:color w:val="E6E6E6"/>
          <w:sz w:val="24"/>
          <w:szCs w:val="24"/>
          <w:lang w:eastAsia="es-MX"/>
        </w:rPr>
        <w:t xml:space="preserve"> que ofrece una funcionalidad más limitada. Los servicios como Azure </w:t>
      </w:r>
      <w:proofErr w:type="spellStart"/>
      <w:r w:rsidRPr="005629E8">
        <w:rPr>
          <w:rFonts w:ascii="Segoe UI" w:eastAsia="Times New Roman" w:hAnsi="Segoe UI" w:cs="Segoe UI"/>
          <w:color w:val="E6E6E6"/>
          <w:sz w:val="24"/>
          <w:szCs w:val="24"/>
          <w:lang w:eastAsia="es-MX"/>
        </w:rPr>
        <w:t>Advisor</w:t>
      </w:r>
      <w:proofErr w:type="spellEnd"/>
      <w:r w:rsidRPr="005629E8">
        <w:rPr>
          <w:rFonts w:ascii="Segoe UI" w:eastAsia="Times New Roman" w:hAnsi="Segoe UI" w:cs="Segoe UI"/>
          <w:color w:val="E6E6E6"/>
          <w:sz w:val="24"/>
          <w:szCs w:val="24"/>
          <w:lang w:eastAsia="es-MX"/>
        </w:rPr>
        <w:t xml:space="preserve"> siempre son gratis. El </w:t>
      </w:r>
      <w:hyperlink r:id="rId10" w:tgtFrame="az-portal" w:history="1">
        <w:r w:rsidRPr="005629E8">
          <w:rPr>
            <w:rFonts w:ascii="Segoe UI" w:eastAsia="Times New Roman" w:hAnsi="Segoe UI" w:cs="Segoe UI"/>
            <w:color w:val="0000FF"/>
            <w:sz w:val="24"/>
            <w:szCs w:val="24"/>
            <w:u w:val="single"/>
            <w:lang w:eastAsia="es-MX"/>
          </w:rPr>
          <w:t xml:space="preserve">acuerdo de nivel de servicio de Azure </w:t>
        </w:r>
        <w:proofErr w:type="spellStart"/>
        <w:r w:rsidRPr="005629E8">
          <w:rPr>
            <w:rFonts w:ascii="Segoe UI" w:eastAsia="Times New Roman" w:hAnsi="Segoe UI" w:cs="Segoe UI"/>
            <w:color w:val="0000FF"/>
            <w:sz w:val="24"/>
            <w:szCs w:val="24"/>
            <w:u w:val="single"/>
            <w:lang w:eastAsia="es-MX"/>
          </w:rPr>
          <w:t>Advisor</w:t>
        </w:r>
        <w:proofErr w:type="spellEnd"/>
      </w:hyperlink>
      <w:r w:rsidRPr="005629E8">
        <w:rPr>
          <w:rFonts w:ascii="Segoe UI" w:eastAsia="Times New Roman" w:hAnsi="Segoe UI" w:cs="Segoe UI"/>
          <w:color w:val="E6E6E6"/>
          <w:sz w:val="24"/>
          <w:szCs w:val="24"/>
          <w:lang w:eastAsia="es-MX"/>
        </w:rPr>
        <w:t> indica que, al ser gratuito, no tiene un acuerdo de nivel de servicio con respaldo financiero.</w:t>
      </w:r>
    </w:p>
    <w:p w14:paraId="4B03849F"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¿Cómo se sabe saber cuándo se produce una interrupción en el servicio?</w:t>
      </w:r>
    </w:p>
    <w:p w14:paraId="6103B7A1"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hyperlink r:id="rId11" w:tgtFrame="az-portal" w:history="1">
        <w:r w:rsidRPr="005629E8">
          <w:rPr>
            <w:rFonts w:ascii="Segoe UI" w:eastAsia="Times New Roman" w:hAnsi="Segoe UI" w:cs="Segoe UI"/>
            <w:color w:val="0000FF"/>
            <w:sz w:val="24"/>
            <w:szCs w:val="24"/>
            <w:u w:val="single"/>
            <w:lang w:eastAsia="es-MX"/>
          </w:rPr>
          <w:t>Estado de Azure</w:t>
        </w:r>
      </w:hyperlink>
      <w:r w:rsidRPr="005629E8">
        <w:rPr>
          <w:rFonts w:ascii="Segoe UI" w:eastAsia="Times New Roman" w:hAnsi="Segoe UI" w:cs="Segoe UI"/>
          <w:color w:val="E6E6E6"/>
          <w:sz w:val="24"/>
          <w:szCs w:val="24"/>
          <w:lang w:eastAsia="es-MX"/>
        </w:rPr>
        <w:t> proporciona una visión global del estado de los servicios y las regiones de Azure. Si sospecha que hay una interrupción, suele ser un buen lugar para comenzar a investigar.</w:t>
      </w:r>
    </w:p>
    <w:p w14:paraId="66A87C98"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El estado de Azure proporciona una fuente RSS con los cambios de estado de los servicios de Azure a los que puede suscribirse. Esta fuente puede conectarse a software de comunicación como Microsoft </w:t>
      </w:r>
      <w:proofErr w:type="spellStart"/>
      <w:r w:rsidRPr="005629E8">
        <w:rPr>
          <w:rFonts w:ascii="Segoe UI" w:eastAsia="Times New Roman" w:hAnsi="Segoe UI" w:cs="Segoe UI"/>
          <w:color w:val="E6E6E6"/>
          <w:sz w:val="24"/>
          <w:szCs w:val="24"/>
          <w:lang w:eastAsia="es-MX"/>
        </w:rPr>
        <w:t>Teams</w:t>
      </w:r>
      <w:proofErr w:type="spellEnd"/>
      <w:r w:rsidRPr="005629E8">
        <w:rPr>
          <w:rFonts w:ascii="Segoe UI" w:eastAsia="Times New Roman" w:hAnsi="Segoe UI" w:cs="Segoe UI"/>
          <w:color w:val="E6E6E6"/>
          <w:sz w:val="24"/>
          <w:szCs w:val="24"/>
          <w:lang w:eastAsia="es-MX"/>
        </w:rPr>
        <w:t xml:space="preserve"> o </w:t>
      </w:r>
      <w:proofErr w:type="spellStart"/>
      <w:r w:rsidRPr="005629E8">
        <w:rPr>
          <w:rFonts w:ascii="Segoe UI" w:eastAsia="Times New Roman" w:hAnsi="Segoe UI" w:cs="Segoe UI"/>
          <w:color w:val="E6E6E6"/>
          <w:sz w:val="24"/>
          <w:szCs w:val="24"/>
          <w:lang w:eastAsia="es-MX"/>
        </w:rPr>
        <w:t>Slack</w:t>
      </w:r>
      <w:proofErr w:type="spellEnd"/>
      <w:r w:rsidRPr="005629E8">
        <w:rPr>
          <w:rFonts w:ascii="Segoe UI" w:eastAsia="Times New Roman" w:hAnsi="Segoe UI" w:cs="Segoe UI"/>
          <w:color w:val="E6E6E6"/>
          <w:sz w:val="24"/>
          <w:szCs w:val="24"/>
          <w:lang w:eastAsia="es-MX"/>
        </w:rPr>
        <w:t>.</w:t>
      </w:r>
    </w:p>
    <w:p w14:paraId="68C0BCA4"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Desde la página estado de Azure también puede acceder a Azure </w:t>
      </w:r>
      <w:proofErr w:type="spellStart"/>
      <w:r w:rsidRPr="005629E8">
        <w:rPr>
          <w:rFonts w:ascii="Segoe UI" w:eastAsia="Times New Roman" w:hAnsi="Segoe UI" w:cs="Segoe UI"/>
          <w:color w:val="E6E6E6"/>
          <w:sz w:val="24"/>
          <w:szCs w:val="24"/>
          <w:lang w:eastAsia="es-MX"/>
        </w:rPr>
        <w:t>Service</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Health</w:t>
      </w:r>
      <w:proofErr w:type="spellEnd"/>
      <w:r w:rsidRPr="005629E8">
        <w:rPr>
          <w:rFonts w:ascii="Segoe UI" w:eastAsia="Times New Roman" w:hAnsi="Segoe UI" w:cs="Segoe UI"/>
          <w:color w:val="E6E6E6"/>
          <w:sz w:val="24"/>
          <w:szCs w:val="24"/>
          <w:lang w:eastAsia="es-MX"/>
        </w:rPr>
        <w:t>, que proporciona una vista personalizada del estado de los servicios y las regiones de Azure que está usando, directamente desde Azure Portal.</w:t>
      </w:r>
    </w:p>
    <w:p w14:paraId="4511CF39"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¿Cómo puedo solicitar un crédito de servicio a Microsoft?</w:t>
      </w:r>
    </w:p>
    <w:p w14:paraId="574789E8"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Normalmente, deberá presentar una reclamación a Microsoft para recibir un crédito de servicio. Si adquiere los servicios de Azure de un </w:t>
      </w:r>
      <w:proofErr w:type="spellStart"/>
      <w:r w:rsidRPr="005629E8">
        <w:rPr>
          <w:rFonts w:ascii="Segoe UI" w:eastAsia="Times New Roman" w:hAnsi="Segoe UI" w:cs="Segoe UI"/>
          <w:color w:val="E6E6E6"/>
          <w:sz w:val="24"/>
          <w:szCs w:val="24"/>
          <w:lang w:eastAsia="es-MX"/>
        </w:rPr>
        <w:t>partner</w:t>
      </w:r>
      <w:proofErr w:type="spellEnd"/>
      <w:r w:rsidRPr="005629E8">
        <w:rPr>
          <w:rFonts w:ascii="Segoe UI" w:eastAsia="Times New Roman" w:hAnsi="Segoe UI" w:cs="Segoe UI"/>
          <w:color w:val="E6E6E6"/>
          <w:sz w:val="24"/>
          <w:szCs w:val="24"/>
          <w:lang w:eastAsia="es-MX"/>
        </w:rPr>
        <w:t xml:space="preserve"> proveedor de soluciones en la nube (CSP), este suele encargarse de administrar el proceso de reclamación.</w:t>
      </w:r>
    </w:p>
    <w:p w14:paraId="6E827F11"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Cada acuerdo de nivel de servicio especifica el plazo en el que se debe enviar la reclamación y el plazo para que Microsoft la procese. En muchos servicios, la reclamación debe enviarse antes de que finalice el mes natural siguiente al mes en el que se produjo el incidente.</w:t>
      </w:r>
    </w:p>
    <w:p w14:paraId="1F519DB3"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A continuación, veamos algunos otros factores que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necesita tener en cuenta y que podrían afectar a los objetivos de rendimiento del acuerdo de nivel de servicio.</w:t>
      </w:r>
    </w:p>
    <w:p w14:paraId="1BCDBDDE" w14:textId="77777777" w:rsidR="005629E8" w:rsidRPr="005629E8" w:rsidRDefault="005629E8" w:rsidP="005629E8">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629E8">
        <w:rPr>
          <w:rFonts w:ascii="Segoe UI" w:eastAsia="Times New Roman" w:hAnsi="Segoe UI" w:cs="Segoe UI"/>
          <w:b/>
          <w:bCs/>
          <w:color w:val="E6E6E6"/>
          <w:kern w:val="36"/>
          <w:sz w:val="48"/>
          <w:szCs w:val="48"/>
          <w:lang w:eastAsia="es-MX"/>
        </w:rPr>
        <w:t>Definición del acuerdo de nivel de servicio de la aplicación</w:t>
      </w:r>
    </w:p>
    <w:p w14:paraId="3EF9B521" w14:textId="77777777" w:rsidR="005629E8" w:rsidRPr="005629E8" w:rsidRDefault="005629E8" w:rsidP="005629E8">
      <w:pPr>
        <w:shd w:val="clear" w:color="auto" w:fill="171717"/>
        <w:spacing w:after="0" w:line="240" w:lineRule="auto"/>
        <w:rPr>
          <w:rFonts w:ascii="Segoe UI" w:eastAsia="Times New Roman" w:hAnsi="Segoe UI" w:cs="Segoe UI"/>
          <w:color w:val="E6E6E6"/>
          <w:sz w:val="24"/>
          <w:szCs w:val="24"/>
          <w:lang w:eastAsia="es-MX"/>
        </w:rPr>
      </w:pPr>
      <w:r w:rsidRPr="005629E8">
        <w:rPr>
          <w:rFonts w:ascii="docons" w:eastAsia="Times New Roman" w:hAnsi="docons" w:cs="Segoe UI"/>
          <w:color w:val="E6E6E6"/>
          <w:sz w:val="14"/>
          <w:szCs w:val="14"/>
          <w:bdr w:val="none" w:sz="0" w:space="0" w:color="auto" w:frame="1"/>
          <w:lang w:eastAsia="es-MX"/>
        </w:rPr>
        <w:t>Completado</w:t>
      </w:r>
      <w:r w:rsidRPr="005629E8">
        <w:rPr>
          <w:rFonts w:ascii="Segoe UI" w:eastAsia="Times New Roman" w:hAnsi="Segoe UI" w:cs="Segoe UI"/>
          <w:color w:val="E6E6E6"/>
          <w:sz w:val="18"/>
          <w:szCs w:val="18"/>
          <w:lang w:eastAsia="es-MX"/>
        </w:rPr>
        <w:t>100 XP</w:t>
      </w:r>
    </w:p>
    <w:p w14:paraId="0CA697C5" w14:textId="77777777" w:rsidR="005629E8" w:rsidRPr="005629E8" w:rsidRDefault="005629E8" w:rsidP="005629E8">
      <w:pPr>
        <w:numPr>
          <w:ilvl w:val="0"/>
          <w:numId w:val="7"/>
        </w:numPr>
        <w:shd w:val="clear" w:color="auto" w:fill="171717"/>
        <w:spacing w:after="0" w:line="240" w:lineRule="auto"/>
        <w:rPr>
          <w:rFonts w:ascii="Segoe UI" w:eastAsia="Times New Roman" w:hAnsi="Segoe UI" w:cs="Segoe UI"/>
          <w:sz w:val="24"/>
          <w:szCs w:val="24"/>
          <w:lang w:eastAsia="es-MX"/>
        </w:rPr>
      </w:pPr>
      <w:r w:rsidRPr="005629E8">
        <w:rPr>
          <w:rFonts w:ascii="Segoe UI" w:eastAsia="Times New Roman" w:hAnsi="Segoe UI" w:cs="Segoe UI"/>
          <w:sz w:val="24"/>
          <w:szCs w:val="24"/>
          <w:lang w:eastAsia="es-MX"/>
        </w:rPr>
        <w:t>3 minutos</w:t>
      </w:r>
    </w:p>
    <w:p w14:paraId="6E191FCE"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Un </w:t>
      </w:r>
      <w:r w:rsidRPr="005629E8">
        <w:rPr>
          <w:rFonts w:ascii="Segoe UI" w:eastAsia="Times New Roman" w:hAnsi="Segoe UI" w:cs="Segoe UI"/>
          <w:i/>
          <w:iCs/>
          <w:color w:val="E6E6E6"/>
          <w:sz w:val="24"/>
          <w:szCs w:val="24"/>
          <w:lang w:eastAsia="es-MX"/>
        </w:rPr>
        <w:t>acuerdo de nivel de servicio de la aplicación</w:t>
      </w:r>
      <w:r w:rsidRPr="005629E8">
        <w:rPr>
          <w:rFonts w:ascii="Segoe UI" w:eastAsia="Times New Roman" w:hAnsi="Segoe UI" w:cs="Segoe UI"/>
          <w:color w:val="E6E6E6"/>
          <w:sz w:val="24"/>
          <w:szCs w:val="24"/>
          <w:lang w:eastAsia="es-MX"/>
        </w:rPr>
        <w:t> define los requisitos del acuerdo para una aplicación específica. Este término normalmente hace referencia a una aplicación que el </w:t>
      </w:r>
      <w:r w:rsidRPr="005629E8">
        <w:rPr>
          <w:rFonts w:ascii="Segoe UI" w:eastAsia="Times New Roman" w:hAnsi="Segoe UI" w:cs="Segoe UI"/>
          <w:i/>
          <w:iCs/>
          <w:color w:val="E6E6E6"/>
          <w:sz w:val="24"/>
          <w:szCs w:val="24"/>
          <w:lang w:eastAsia="es-MX"/>
        </w:rPr>
        <w:t>cliente</w:t>
      </w:r>
      <w:r w:rsidRPr="005629E8">
        <w:rPr>
          <w:rFonts w:ascii="Segoe UI" w:eastAsia="Times New Roman" w:hAnsi="Segoe UI" w:cs="Segoe UI"/>
          <w:color w:val="E6E6E6"/>
          <w:sz w:val="24"/>
          <w:szCs w:val="24"/>
          <w:lang w:eastAsia="es-MX"/>
        </w:rPr>
        <w:t> compila en Azure.</w:t>
      </w:r>
    </w:p>
    <w:p w14:paraId="54E6075D"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5629E8">
        <w:rPr>
          <w:rFonts w:ascii="Segoe UI" w:eastAsia="Times New Roman" w:hAnsi="Segoe UI" w:cs="Segoe UI"/>
          <w:color w:val="E6E6E6"/>
          <w:sz w:val="24"/>
          <w:szCs w:val="24"/>
          <w:lang w:eastAsia="es-MX"/>
        </w:rPr>
        <w:lastRenderedPageBreak/>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ejecuta una aplicación basada en Azure denominada "Pedidos Especiales". La aplicación realiza un seguimiento de los pedidos especiales que los clientes han hecho en las tiendas físicas de la empresa. Un pedido especial incluye un artículo y todos los elementos personalizados que necesita el cliente. Por ejemplo, una puerta plegable podría incluir personalizaciones como la dimensión y la colocación de bisagras. Dado que las personalizaciones suelen requerir un tratamiento especial, el artículo personalizado debe pedirse al proveedor cuando lo necesita un cliente.</w:t>
      </w:r>
    </w:p>
    <w:p w14:paraId="17B5596C"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Hay muchas decisiones de diseño que se pueden tomar para mejorar la disponibilidad y la resistencia de las aplicaciones y los servicios que se crean en Azure. Estas decisiones quedan fuera del acuerdo de nivel de servicio para un servicio específico. En esta parte, se analizarán algunas de estas consideraciones.</w:t>
      </w:r>
    </w:p>
    <w:p w14:paraId="2334478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Un buen punto de partida es debatir en equipo sobre la importancia que tiene para el negocio la disponibilidad de cada aplicación. En las secciones siguientes se tratan algunos de los factores que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podría considerar.</w:t>
      </w:r>
    </w:p>
    <w:p w14:paraId="27A89781"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Impacto empresarial</w:t>
      </w:r>
    </w:p>
    <w:p w14:paraId="09C8EFB5"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Si la aplicación Pedidos Especiales se bloquea, ¿cómo repercutiría esto en la empresa? En este caso, los clientes no podrían realizar nuevos pedidos a través de la tienda y el personal no podría comprobar el estado de los pedidos existentes. Los clientes tendrán que intentarlo de nuevo más tarde o posiblemente acudirán a la competencia.</w:t>
      </w:r>
    </w:p>
    <w:p w14:paraId="7CA09CEF"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Repercusión en otras operaciones empresariales</w:t>
      </w:r>
    </w:p>
    <w:p w14:paraId="38B18725"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La aplicación Pedidos Especiales no afecta a otras operaciones. Por lo tanto, la mayor parte del negocio de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seguirá funcionando con normalidad, aunque la aplicación Pedidos Especiales deje de funcionar.</w:t>
      </w:r>
    </w:p>
    <w:p w14:paraId="0D9A55E9"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Patrones de uso</w:t>
      </w:r>
    </w:p>
    <w:p w14:paraId="74DE7959"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Los </w:t>
      </w:r>
      <w:r w:rsidRPr="005629E8">
        <w:rPr>
          <w:rFonts w:ascii="Segoe UI" w:eastAsia="Times New Roman" w:hAnsi="Segoe UI" w:cs="Segoe UI"/>
          <w:i/>
          <w:iCs/>
          <w:color w:val="E6E6E6"/>
          <w:sz w:val="24"/>
          <w:szCs w:val="24"/>
          <w:lang w:eastAsia="es-MX"/>
        </w:rPr>
        <w:t>patrones de uso</w:t>
      </w:r>
      <w:r w:rsidRPr="005629E8">
        <w:rPr>
          <w:rFonts w:ascii="Segoe UI" w:eastAsia="Times New Roman" w:hAnsi="Segoe UI" w:cs="Segoe UI"/>
          <w:color w:val="E6E6E6"/>
          <w:sz w:val="24"/>
          <w:szCs w:val="24"/>
          <w:lang w:eastAsia="es-MX"/>
        </w:rPr>
        <w:t> definen cuándo y cómo acceden los usuarios a la aplicación.</w:t>
      </w:r>
    </w:p>
    <w:p w14:paraId="15E243E5"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Una cuestión que debe tenerse en cuenta es si el requisito de disponibilidad difiere entre períodos de tiempo críticos y no críticos. Por ejemplo, una aplicación de </w:t>
      </w:r>
      <w:r w:rsidRPr="005629E8">
        <w:rPr>
          <w:rFonts w:ascii="Segoe UI" w:eastAsia="Times New Roman" w:hAnsi="Segoe UI" w:cs="Segoe UI"/>
          <w:color w:val="E6E6E6"/>
          <w:sz w:val="24"/>
          <w:szCs w:val="24"/>
          <w:lang w:eastAsia="es-MX"/>
        </w:rPr>
        <w:lastRenderedPageBreak/>
        <w:t>declaración de impuestos no puede tener un error justo antes de una fecha límite de presentación.</w:t>
      </w:r>
    </w:p>
    <w:p w14:paraId="245365B6"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En el caso de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las tiendas minoristas no están abiertas las 24 horas del día, por lo que, si la aplicación deja de funcionar durante la noche, el impacto será mínimo. No obstante, dado que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tiene tiendas minoristas en todo el mundo, la empresa tendrá que asegurarse de que cada ubicación tenga acceso al servicio durante su horario comercial.</w:t>
      </w:r>
    </w:p>
    <w:p w14:paraId="2E71AF77" w14:textId="77777777" w:rsidR="005629E8" w:rsidRPr="005629E8" w:rsidRDefault="005629E8" w:rsidP="005629E8">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629E8">
        <w:rPr>
          <w:rFonts w:ascii="Segoe UI" w:eastAsia="Times New Roman" w:hAnsi="Segoe UI" w:cs="Segoe UI"/>
          <w:b/>
          <w:bCs/>
          <w:color w:val="E6E6E6"/>
          <w:sz w:val="36"/>
          <w:szCs w:val="36"/>
          <w:lang w:eastAsia="es-MX"/>
        </w:rPr>
        <w:t>¿Qué decide el equipo?</w:t>
      </w:r>
    </w:p>
    <w:p w14:paraId="5A65327C"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 xml:space="preserve">Supongamos que </w:t>
      </w:r>
      <w:proofErr w:type="spellStart"/>
      <w:r w:rsidRPr="005629E8">
        <w:rPr>
          <w:rFonts w:ascii="Segoe UI" w:eastAsia="Times New Roman" w:hAnsi="Segoe UI" w:cs="Segoe UI"/>
          <w:color w:val="E6E6E6"/>
          <w:sz w:val="24"/>
          <w:szCs w:val="24"/>
          <w:lang w:eastAsia="es-MX"/>
        </w:rPr>
        <w:t>Tailwind</w:t>
      </w:r>
      <w:proofErr w:type="spellEnd"/>
      <w:r w:rsidRPr="005629E8">
        <w:rPr>
          <w:rFonts w:ascii="Segoe UI" w:eastAsia="Times New Roman" w:hAnsi="Segoe UI" w:cs="Segoe UI"/>
          <w:color w:val="E6E6E6"/>
          <w:sz w:val="24"/>
          <w:szCs w:val="24"/>
          <w:lang w:eastAsia="es-MX"/>
        </w:rPr>
        <w:t xml:space="preserve"> </w:t>
      </w:r>
      <w:proofErr w:type="spellStart"/>
      <w:r w:rsidRPr="005629E8">
        <w:rPr>
          <w:rFonts w:ascii="Segoe UI" w:eastAsia="Times New Roman" w:hAnsi="Segoe UI" w:cs="Segoe UI"/>
          <w:color w:val="E6E6E6"/>
          <w:sz w:val="24"/>
          <w:szCs w:val="24"/>
          <w:lang w:eastAsia="es-MX"/>
        </w:rPr>
        <w:t>Traders</w:t>
      </w:r>
      <w:proofErr w:type="spellEnd"/>
      <w:r w:rsidRPr="005629E8">
        <w:rPr>
          <w:rFonts w:ascii="Segoe UI" w:eastAsia="Times New Roman" w:hAnsi="Segoe UI" w:cs="Segoe UI"/>
          <w:color w:val="E6E6E6"/>
          <w:sz w:val="24"/>
          <w:szCs w:val="24"/>
          <w:lang w:eastAsia="es-MX"/>
        </w:rPr>
        <w:t xml:space="preserve"> decide que un acuerdo de nivel de servicio del 99,9 % es aceptable para la aplicación Pedidos Especiales. Esto le da a la empresa un tiempo de inactividad estimado de 10,1 minutos por semana. Pero ¿cómo se asegurará de que sus opciones de tecnología estén cubiertas por el acuerdo de nivel de servicio de la aplicación?</w:t>
      </w:r>
    </w:p>
    <w:p w14:paraId="774E991C" w14:textId="77777777" w:rsidR="005629E8" w:rsidRPr="005629E8" w:rsidRDefault="005629E8" w:rsidP="005629E8">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629E8">
        <w:rPr>
          <w:rFonts w:ascii="Segoe UI" w:eastAsia="Times New Roman" w:hAnsi="Segoe UI" w:cs="Segoe UI"/>
          <w:color w:val="E6E6E6"/>
          <w:sz w:val="24"/>
          <w:szCs w:val="24"/>
          <w:lang w:eastAsia="es-MX"/>
        </w:rPr>
        <w:t>En la parte siguiente veremos cómo el equipo asocia los requisitos de la aplicación con servicios de Azure específicos. Conocerá algunas de las técnicas que puede usar para ayudar a garantizar que las opciones de tecnología cumplan con el acuerdo de nivel de servicio de la aplicación.</w:t>
      </w:r>
    </w:p>
    <w:p w14:paraId="395890CE" w14:textId="77777777" w:rsidR="005629E8" w:rsidRDefault="005629E8" w:rsidP="005629E8">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Diseño de la aplicación para satisfacer el acuerdo de nivel de servicio</w:t>
      </w:r>
    </w:p>
    <w:p w14:paraId="15B81065" w14:textId="77777777" w:rsidR="005629E8" w:rsidRDefault="005629E8" w:rsidP="005629E8">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5159B933" w14:textId="77777777" w:rsidR="005629E8" w:rsidRDefault="005629E8" w:rsidP="005629E8">
      <w:pPr>
        <w:numPr>
          <w:ilvl w:val="0"/>
          <w:numId w:val="8"/>
        </w:numPr>
        <w:shd w:val="clear" w:color="auto" w:fill="171717"/>
        <w:spacing w:after="0" w:line="240" w:lineRule="auto"/>
        <w:rPr>
          <w:rFonts w:ascii="Segoe UI" w:hAnsi="Segoe UI" w:cs="Segoe UI"/>
        </w:rPr>
      </w:pPr>
      <w:r>
        <w:rPr>
          <w:rFonts w:ascii="Segoe UI" w:hAnsi="Segoe UI" w:cs="Segoe UI"/>
        </w:rPr>
        <w:t>7 minutos</w:t>
      </w:r>
    </w:p>
    <w:p w14:paraId="7A22B071" w14:textId="77777777" w:rsidR="005629E8" w:rsidRDefault="005629E8" w:rsidP="005629E8">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decide que un acuerdo de nivel de servicio del 99,9 % es aceptable para la aplicación Pedidos Especiales. Recordemos que esto le da a la empresa un tiempo de inactividad estimado de 10,1 minutos por semana.</w:t>
      </w:r>
    </w:p>
    <w:p w14:paraId="1FD7D3DE"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Ahora hay que diseñar una solución eficaz y confiable para esta aplicación en Azure, teniendo en cuenta el acuerdo de nivel de servicio de la aplicación. Habrá que seleccionar los productos y servicios de Azure y aprovisionar los recursos según esos requisitos.</w:t>
      </w:r>
    </w:p>
    <w:p w14:paraId="35E7A605"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Es inevitable que haya problemas. Pueden producirse errores de hardware. La red puede tener períodos intermitentes en los que se agote el tiempo de espera. Si </w:t>
      </w:r>
      <w:r>
        <w:rPr>
          <w:rFonts w:ascii="Segoe UI" w:hAnsi="Segoe UI" w:cs="Segoe UI"/>
          <w:color w:val="E6E6E6"/>
        </w:rPr>
        <w:lastRenderedPageBreak/>
        <w:t>bien es poco habitual que todo un servicio o toda una región experimenten interrupciones, es necesario establecer un plan para esos eventos.</w:t>
      </w:r>
    </w:p>
    <w:p w14:paraId="12D8D467"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Vamos a seguir el proceso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utiliza para asegurarse de que sus opciones de tecnología cumplen el acuerdo de nivel de servicio de su aplicación.</w:t>
      </w:r>
    </w:p>
    <w:p w14:paraId="23592AF1"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Identificación de las cargas de trabajo</w:t>
      </w:r>
    </w:p>
    <w:p w14:paraId="2ED129E2"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Una </w:t>
      </w:r>
      <w:r>
        <w:rPr>
          <w:rStyle w:val="Emphasis"/>
          <w:rFonts w:ascii="Segoe UI" w:hAnsi="Segoe UI" w:cs="Segoe UI"/>
          <w:color w:val="E6E6E6"/>
        </w:rPr>
        <w:t>carga de trabajo</w:t>
      </w:r>
      <w:r>
        <w:rPr>
          <w:rFonts w:ascii="Segoe UI" w:hAnsi="Segoe UI" w:cs="Segoe UI"/>
          <w:color w:val="E6E6E6"/>
        </w:rPr>
        <w:t> es una función o tarea distinta que se separa lógicamente de otras tareas, en términos de requisitos de almacenamiento de datos y lógica empresarial. Cada carga de trabajo define un conjunto de requisitos para la disponibilidad, la escalabilidad, la coherencia de los datos y la recuperación ante desastres.</w:t>
      </w:r>
    </w:p>
    <w:p w14:paraId="29407DC6"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En Azure, la aplicación Pedidos Especiales necesitará:</w:t>
      </w:r>
    </w:p>
    <w:p w14:paraId="2A25D106" w14:textId="77777777" w:rsidR="005629E8" w:rsidRDefault="005629E8" w:rsidP="005629E8">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Dos máquinas virtuales.</w:t>
      </w:r>
    </w:p>
    <w:p w14:paraId="07D0A096" w14:textId="77777777" w:rsidR="005629E8" w:rsidRDefault="005629E8" w:rsidP="005629E8">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Una instancia de Azure SQL </w:t>
      </w:r>
      <w:proofErr w:type="spellStart"/>
      <w:r>
        <w:rPr>
          <w:rFonts w:ascii="Segoe UI" w:hAnsi="Segoe UI" w:cs="Segoe UI"/>
          <w:color w:val="E6E6E6"/>
        </w:rPr>
        <w:t>Database</w:t>
      </w:r>
      <w:proofErr w:type="spellEnd"/>
    </w:p>
    <w:p w14:paraId="69AD3FF4" w14:textId="77777777" w:rsidR="005629E8" w:rsidRDefault="005629E8" w:rsidP="005629E8">
      <w:pPr>
        <w:numPr>
          <w:ilvl w:val="0"/>
          <w:numId w:val="9"/>
        </w:numPr>
        <w:shd w:val="clear" w:color="auto" w:fill="171717"/>
        <w:spacing w:after="0" w:line="240" w:lineRule="auto"/>
        <w:ind w:left="1290"/>
        <w:rPr>
          <w:rFonts w:ascii="Segoe UI" w:hAnsi="Segoe UI" w:cs="Segoe UI"/>
          <w:color w:val="E6E6E6"/>
        </w:rPr>
      </w:pPr>
      <w:r>
        <w:rPr>
          <w:rFonts w:ascii="Segoe UI" w:hAnsi="Segoe UI" w:cs="Segoe UI"/>
          <w:color w:val="E6E6E6"/>
        </w:rPr>
        <w:t xml:space="preserve">Una instancia de Azure Load </w:t>
      </w:r>
      <w:proofErr w:type="spellStart"/>
      <w:r>
        <w:rPr>
          <w:rFonts w:ascii="Segoe UI" w:hAnsi="Segoe UI" w:cs="Segoe UI"/>
          <w:color w:val="E6E6E6"/>
        </w:rPr>
        <w:t>Balancer</w:t>
      </w:r>
      <w:proofErr w:type="spellEnd"/>
    </w:p>
    <w:p w14:paraId="367B6CF3"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En este diagrama se muestra la arquitectura básica:</w:t>
      </w:r>
    </w:p>
    <w:p w14:paraId="380F830A" w14:textId="77A0250D" w:rsidR="005629E8" w:rsidRDefault="005629E8" w:rsidP="005629E8">
      <w:pPr>
        <w:pStyle w:val="NormalWeb"/>
        <w:shd w:val="clear" w:color="auto" w:fill="171717"/>
        <w:rPr>
          <w:rFonts w:ascii="Segoe UI" w:hAnsi="Segoe UI" w:cs="Segoe UI"/>
          <w:color w:val="E6E6E6"/>
        </w:rPr>
      </w:pPr>
      <w:r>
        <w:rPr>
          <w:rFonts w:ascii="Segoe UI" w:hAnsi="Segoe UI" w:cs="Segoe UI"/>
          <w:noProof/>
          <w:color w:val="E6E6E6"/>
        </w:rPr>
        <mc:AlternateContent>
          <mc:Choice Requires="wps">
            <w:drawing>
              <wp:inline distT="0" distB="0" distL="0" distR="0" wp14:anchorId="5E3BDB4A" wp14:editId="5B44C0AA">
                <wp:extent cx="304800" cy="304800"/>
                <wp:effectExtent l="0" t="0" r="0" b="0"/>
                <wp:docPr id="3" name="Rectangle 3" descr="A diagram showing two virtual machines connected to Azure Load Balancer and Azure SQL Databa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51E4B" id="Rectangle 3" o:spid="_x0000_s1026" alt="A diagram showing two virtual machines connected to Azure Load Balancer and Azure SQL Databa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22EB87"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Combinación de los acuerdos de nivel de servicio para calcular un SLA compuesto</w:t>
      </w:r>
    </w:p>
    <w:p w14:paraId="44B26C2A"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Después de haber identificado el acuerdo de nivel de servicio para las cargas de trabajo individuales de la aplicación Pedidos Especiales, es posible que observe que esos acuerdos de nivel de servicio no son iguales. ¿Cómo afecta esto a nuestro requisito general de acuerdo de nivel de servicio de la aplicación del 99,9 %? Para calcularlo, hay que realizar algunas operaciones matemáticas.</w:t>
      </w:r>
    </w:p>
    <w:p w14:paraId="0BEC6419"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El proceso de combinación de acuerdos de nivel de servicio ayuda a calcular el </w:t>
      </w:r>
      <w:r>
        <w:rPr>
          <w:rStyle w:val="Emphasis"/>
          <w:rFonts w:ascii="Segoe UI" w:hAnsi="Segoe UI" w:cs="Segoe UI"/>
          <w:color w:val="E6E6E6"/>
        </w:rPr>
        <w:t>acuerdo de nivel de servicio compuesto</w:t>
      </w:r>
      <w:r>
        <w:rPr>
          <w:rFonts w:ascii="Segoe UI" w:hAnsi="Segoe UI" w:cs="Segoe UI"/>
          <w:color w:val="E6E6E6"/>
        </w:rPr>
        <w:t> para un conjunto de servicios. Para calcular el acuerdo de nivel de servicio compuesto, hay que multiplicar el acuerdo de cada uno de los servicios.</w:t>
      </w:r>
    </w:p>
    <w:p w14:paraId="06C8C896"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lastRenderedPageBreak/>
        <w:t>Desde </w:t>
      </w:r>
      <w:hyperlink r:id="rId12" w:tgtFrame="az-portal" w:history="1">
        <w:r>
          <w:rPr>
            <w:rStyle w:val="Hyperlink"/>
            <w:rFonts w:ascii="Segoe UI" w:hAnsi="Segoe UI" w:cs="Segoe UI"/>
          </w:rPr>
          <w:t>Contratos de nivel de servicio</w:t>
        </w:r>
      </w:hyperlink>
      <w:r>
        <w:rPr>
          <w:rFonts w:ascii="Segoe UI" w:hAnsi="Segoe UI" w:cs="Segoe UI"/>
          <w:color w:val="E6E6E6"/>
        </w:rPr>
        <w:t> encontrará el acuerdo correspondiente a los servicios de Azure que necesite. Son las siguientes:</w:t>
      </w:r>
    </w:p>
    <w:tbl>
      <w:tblPr>
        <w:tblW w:w="12927" w:type="dxa"/>
        <w:tblCellMar>
          <w:top w:w="15" w:type="dxa"/>
          <w:left w:w="15" w:type="dxa"/>
          <w:bottom w:w="15" w:type="dxa"/>
          <w:right w:w="15" w:type="dxa"/>
        </w:tblCellMar>
        <w:tblLook w:val="04A0" w:firstRow="1" w:lastRow="0" w:firstColumn="1" w:lastColumn="0" w:noHBand="0" w:noVBand="1"/>
      </w:tblPr>
      <w:tblGrid>
        <w:gridCol w:w="5740"/>
        <w:gridCol w:w="7187"/>
      </w:tblGrid>
      <w:tr w:rsidR="005629E8" w14:paraId="082249DF" w14:textId="77777777" w:rsidTr="005629E8">
        <w:trPr>
          <w:tblHeader/>
        </w:trPr>
        <w:tc>
          <w:tcPr>
            <w:tcW w:w="0" w:type="auto"/>
            <w:hideMark/>
          </w:tcPr>
          <w:p w14:paraId="5FC3CA21" w14:textId="77777777" w:rsidR="005629E8" w:rsidRDefault="005629E8">
            <w:pPr>
              <w:rPr>
                <w:rFonts w:ascii="Times New Roman" w:hAnsi="Times New Roman" w:cs="Times New Roman"/>
                <w:b/>
                <w:bCs/>
              </w:rPr>
            </w:pPr>
            <w:r>
              <w:rPr>
                <w:b/>
                <w:bCs/>
              </w:rPr>
              <w:t>Servicio</w:t>
            </w:r>
          </w:p>
        </w:tc>
        <w:tc>
          <w:tcPr>
            <w:tcW w:w="0" w:type="auto"/>
            <w:hideMark/>
          </w:tcPr>
          <w:p w14:paraId="752E3132" w14:textId="77777777" w:rsidR="005629E8" w:rsidRDefault="005629E8">
            <w:pPr>
              <w:rPr>
                <w:b/>
                <w:bCs/>
              </w:rPr>
            </w:pPr>
            <w:r>
              <w:rPr>
                <w:b/>
                <w:bCs/>
              </w:rPr>
              <w:t>Contrato de nivel de servicio</w:t>
            </w:r>
          </w:p>
        </w:tc>
      </w:tr>
      <w:tr w:rsidR="005629E8" w14:paraId="7C844A45" w14:textId="77777777" w:rsidTr="005629E8">
        <w:tc>
          <w:tcPr>
            <w:tcW w:w="0" w:type="auto"/>
            <w:hideMark/>
          </w:tcPr>
          <w:p w14:paraId="2678A97C" w14:textId="77777777" w:rsidR="005629E8" w:rsidRDefault="005629E8">
            <w:r>
              <w:t>Azure Virtual Machines</w:t>
            </w:r>
          </w:p>
        </w:tc>
        <w:tc>
          <w:tcPr>
            <w:tcW w:w="0" w:type="auto"/>
            <w:hideMark/>
          </w:tcPr>
          <w:p w14:paraId="7E0AB9BC" w14:textId="77777777" w:rsidR="005629E8" w:rsidRDefault="005629E8">
            <w:r>
              <w:t>99,9 por ciento</w:t>
            </w:r>
          </w:p>
        </w:tc>
      </w:tr>
      <w:tr w:rsidR="005629E8" w14:paraId="7D4F4E13" w14:textId="77777777" w:rsidTr="005629E8">
        <w:tc>
          <w:tcPr>
            <w:tcW w:w="0" w:type="auto"/>
            <w:hideMark/>
          </w:tcPr>
          <w:p w14:paraId="7A222556" w14:textId="77777777" w:rsidR="005629E8" w:rsidRDefault="005629E8">
            <w:r>
              <w:t xml:space="preserve">Azure SQL </w:t>
            </w:r>
            <w:proofErr w:type="spellStart"/>
            <w:r>
              <w:t>Database</w:t>
            </w:r>
            <w:proofErr w:type="spellEnd"/>
          </w:p>
        </w:tc>
        <w:tc>
          <w:tcPr>
            <w:tcW w:w="0" w:type="auto"/>
            <w:hideMark/>
          </w:tcPr>
          <w:p w14:paraId="0AFF4038" w14:textId="77777777" w:rsidR="005629E8" w:rsidRDefault="005629E8">
            <w:r>
              <w:t>99,99 por ciento</w:t>
            </w:r>
          </w:p>
        </w:tc>
      </w:tr>
      <w:tr w:rsidR="005629E8" w14:paraId="52AB4857" w14:textId="77777777" w:rsidTr="005629E8">
        <w:tc>
          <w:tcPr>
            <w:tcW w:w="0" w:type="auto"/>
            <w:hideMark/>
          </w:tcPr>
          <w:p w14:paraId="667335C5" w14:textId="77777777" w:rsidR="005629E8" w:rsidRDefault="005629E8">
            <w:r>
              <w:t xml:space="preserve">Azure Load </w:t>
            </w:r>
            <w:proofErr w:type="spellStart"/>
            <w:r>
              <w:t>Balancer</w:t>
            </w:r>
            <w:proofErr w:type="spellEnd"/>
          </w:p>
        </w:tc>
        <w:tc>
          <w:tcPr>
            <w:tcW w:w="0" w:type="auto"/>
            <w:hideMark/>
          </w:tcPr>
          <w:p w14:paraId="6CE2C4F8" w14:textId="77777777" w:rsidR="005629E8" w:rsidRDefault="005629E8">
            <w:r>
              <w:t>99,99 por ciento</w:t>
            </w:r>
          </w:p>
        </w:tc>
      </w:tr>
    </w:tbl>
    <w:p w14:paraId="10032154"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Por tanto, el acuerdo de nivel de servicio compuesto para la aplicación Pedidos Especiales será:</w:t>
      </w:r>
    </w:p>
    <w:p w14:paraId="63224052" w14:textId="77777777" w:rsidR="005629E8" w:rsidRDefault="005629E8" w:rsidP="005629E8">
      <w:pPr>
        <w:pStyle w:val="NormalWeb"/>
        <w:shd w:val="clear" w:color="auto" w:fill="171717"/>
        <w:spacing w:before="0" w:after="0"/>
        <w:rPr>
          <w:rFonts w:ascii="Segoe UI" w:hAnsi="Segoe UI" w:cs="Segoe UI"/>
          <w:color w:val="E6E6E6"/>
        </w:rPr>
      </w:pPr>
      <w:r>
        <w:rPr>
          <w:rStyle w:val="mjx-char"/>
          <w:rFonts w:ascii="MJXc-TeX-main-Rw" w:hAnsi="MJXc-TeX-main-Rw" w:cs="Segoe UI"/>
          <w:color w:val="E6E6E6"/>
          <w:sz w:val="27"/>
          <w:szCs w:val="27"/>
          <w:bdr w:val="none" w:sz="0" w:space="0" w:color="auto" w:frame="1"/>
        </w:rPr>
        <w:t>99.9%×99.9%×99.99%×99.99%</w:t>
      </w:r>
      <w:r>
        <w:rPr>
          <w:rStyle w:val="mjxassistivemathml"/>
          <w:rFonts w:ascii="Segoe UI" w:hAnsi="Segoe UI" w:cs="Segoe UI"/>
          <w:color w:val="E6E6E6"/>
          <w:sz w:val="27"/>
          <w:szCs w:val="27"/>
          <w:bdr w:val="none" w:sz="0" w:space="0" w:color="auto" w:frame="1"/>
        </w:rPr>
        <w:t>99.9%×99.9%×99.99%×99.99%</w:t>
      </w:r>
      <w:r>
        <w:rPr>
          <w:rStyle w:val="mjx-char"/>
          <w:rFonts w:ascii="MJXc-TeX-main-Rw" w:hAnsi="MJXc-TeX-main-Rw" w:cs="Segoe UI"/>
          <w:color w:val="E6E6E6"/>
          <w:sz w:val="27"/>
          <w:szCs w:val="27"/>
          <w:bdr w:val="none" w:sz="0" w:space="0" w:color="auto" w:frame="1"/>
        </w:rPr>
        <w:t>=0.999×0.999×0.9999×0.9999</w:t>
      </w:r>
      <w:r>
        <w:rPr>
          <w:rStyle w:val="mjxassistivemathml"/>
          <w:rFonts w:ascii="Segoe UI" w:hAnsi="Segoe UI" w:cs="Segoe UI"/>
          <w:color w:val="E6E6E6"/>
          <w:sz w:val="27"/>
          <w:szCs w:val="27"/>
          <w:bdr w:val="none" w:sz="0" w:space="0" w:color="auto" w:frame="1"/>
        </w:rPr>
        <w:t>=0.999×0.999×0.9999×0.9999</w:t>
      </w:r>
      <w:r>
        <w:rPr>
          <w:rStyle w:val="mjx-char"/>
          <w:rFonts w:ascii="MJXc-TeX-main-Rw" w:hAnsi="MJXc-TeX-main-Rw" w:cs="Segoe UI"/>
          <w:color w:val="E6E6E6"/>
          <w:sz w:val="27"/>
          <w:szCs w:val="27"/>
          <w:bdr w:val="none" w:sz="0" w:space="0" w:color="auto" w:frame="1"/>
        </w:rPr>
        <w:t>=0.9978</w:t>
      </w:r>
      <w:r>
        <w:rPr>
          <w:rStyle w:val="mjxassistivemathml"/>
          <w:rFonts w:ascii="Segoe UI" w:hAnsi="Segoe UI" w:cs="Segoe UI"/>
          <w:color w:val="E6E6E6"/>
          <w:sz w:val="27"/>
          <w:szCs w:val="27"/>
          <w:bdr w:val="none" w:sz="0" w:space="0" w:color="auto" w:frame="1"/>
        </w:rPr>
        <w:t>=0.9978</w:t>
      </w:r>
      <w:r>
        <w:rPr>
          <w:rStyle w:val="mjx-char"/>
          <w:rFonts w:ascii="MJXc-TeX-main-Rw" w:hAnsi="MJXc-TeX-main-Rw" w:cs="Segoe UI"/>
          <w:color w:val="E6E6E6"/>
          <w:sz w:val="27"/>
          <w:szCs w:val="27"/>
          <w:bdr w:val="none" w:sz="0" w:space="0" w:color="auto" w:frame="1"/>
        </w:rPr>
        <w:t>=99.78%</w:t>
      </w:r>
      <w:r>
        <w:rPr>
          <w:rStyle w:val="mjxassistivemathml"/>
          <w:rFonts w:ascii="Segoe UI" w:hAnsi="Segoe UI" w:cs="Segoe UI"/>
          <w:color w:val="E6E6E6"/>
          <w:sz w:val="27"/>
          <w:szCs w:val="27"/>
          <w:bdr w:val="none" w:sz="0" w:space="0" w:color="auto" w:frame="1"/>
        </w:rPr>
        <w:t>=99.78%</w:t>
      </w:r>
    </w:p>
    <w:p w14:paraId="340A7B75"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Recuerde que necesita dos máquinas virtuales. Por lo tanto, el acuerdo de nivel de servicio de Virtual Machines del 99,9 % se incluye dos veces en la fórmula.</w:t>
      </w:r>
    </w:p>
    <w:p w14:paraId="112F000A"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Tenga en cuenta que, aunque todos los servicios individuales tienen acuerdos de nivel de servicio que son iguales o mejores que el acuerdo de la aplicación, el hecho de combinarlos da como resultado un número total que es </w:t>
      </w:r>
      <w:r>
        <w:rPr>
          <w:rStyle w:val="Emphasis"/>
          <w:rFonts w:ascii="Segoe UI" w:hAnsi="Segoe UI" w:cs="Segoe UI"/>
          <w:color w:val="E6E6E6"/>
        </w:rPr>
        <w:t>inferior</w:t>
      </w:r>
      <w:r>
        <w:rPr>
          <w:rFonts w:ascii="Segoe UI" w:hAnsi="Segoe UI" w:cs="Segoe UI"/>
          <w:color w:val="E6E6E6"/>
        </w:rPr>
        <w:t> al 99,9 % que necesita. ¿Por qué? Porque el uso de varios servicios agrega un nivel de complejidad adicional y aumenta ligeramente el riesgo de que se produzcan errores.</w:t>
      </w:r>
    </w:p>
    <w:p w14:paraId="53212C84"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Aquí puede ver que el acuerdo de nivel de servicio compuesto del 99,78 % no cumple el acuerdo de nivel de servicio requerido del 99,9 %. Podría consultar con su equipo si esto es aceptable. También podría implementar otras estrategias en el diseño para mejorar este acuerdo de nivel de servicio.</w:t>
      </w:r>
    </w:p>
    <w:p w14:paraId="3AB5963A"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ocurre cuando el acuerdo de nivel de servicio compuesto no satisface sus necesidades?</w:t>
      </w:r>
    </w:p>
    <w:p w14:paraId="6350F37A"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En el caso de la aplicación </w:t>
      </w:r>
      <w:proofErr w:type="spellStart"/>
      <w:r>
        <w:rPr>
          <w:rFonts w:ascii="Segoe UI" w:hAnsi="Segoe UI" w:cs="Segoe UI"/>
          <w:color w:val="E6E6E6"/>
        </w:rPr>
        <w:t>Special</w:t>
      </w:r>
      <w:proofErr w:type="spellEnd"/>
      <w:r>
        <w:rPr>
          <w:rFonts w:ascii="Segoe UI" w:hAnsi="Segoe UI" w:cs="Segoe UI"/>
          <w:color w:val="E6E6E6"/>
        </w:rPr>
        <w:t> </w:t>
      </w:r>
      <w:proofErr w:type="spellStart"/>
      <w:r>
        <w:rPr>
          <w:rFonts w:ascii="Segoe UI" w:hAnsi="Segoe UI" w:cs="Segoe UI"/>
          <w:color w:val="E6E6E6"/>
        </w:rPr>
        <w:t>Orders</w:t>
      </w:r>
      <w:proofErr w:type="spellEnd"/>
      <w:r>
        <w:rPr>
          <w:rFonts w:ascii="Segoe UI" w:hAnsi="Segoe UI" w:cs="Segoe UI"/>
          <w:color w:val="E6E6E6"/>
        </w:rPr>
        <w:t xml:space="preserve">, el contrato de nivel de servicio compuesto no cumple el acuerdo requerido del 99,9 %. Echemos un vistazo a algunas estrategias que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puede considerar.</w:t>
      </w:r>
    </w:p>
    <w:p w14:paraId="3399894E" w14:textId="77777777" w:rsidR="005629E8" w:rsidRDefault="005629E8" w:rsidP="005629E8">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Elección de las opciones de personalización que se ajustan al acuerdo de nivel de servicio requerido</w:t>
      </w:r>
    </w:p>
    <w:p w14:paraId="24354416"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Cada una de las cargas de trabajo definidas anteriormente tiene su propio acuerdo de nivel de servicio, y las opciones de personalización que se toman al aprovisionar cada carga de trabajo afectan a ese acuerdo. Por ejemplo:</w:t>
      </w:r>
    </w:p>
    <w:p w14:paraId="2A81D629" w14:textId="77777777" w:rsidR="005629E8" w:rsidRDefault="005629E8" w:rsidP="005629E8">
      <w:pPr>
        <w:pStyle w:val="NormalWeb"/>
        <w:numPr>
          <w:ilvl w:val="0"/>
          <w:numId w:val="10"/>
        </w:numPr>
        <w:shd w:val="clear" w:color="auto" w:fill="171717"/>
        <w:ind w:left="1290"/>
        <w:rPr>
          <w:rFonts w:ascii="Segoe UI" w:hAnsi="Segoe UI" w:cs="Segoe UI"/>
          <w:color w:val="E6E6E6"/>
        </w:rPr>
      </w:pPr>
      <w:r>
        <w:rPr>
          <w:rStyle w:val="Strong"/>
          <w:rFonts w:ascii="Segoe UI" w:hAnsi="Segoe UI" w:cs="Segoe UI"/>
          <w:color w:val="E6E6E6"/>
        </w:rPr>
        <w:t>Discos</w:t>
      </w:r>
    </w:p>
    <w:p w14:paraId="5201B863" w14:textId="77777777" w:rsidR="005629E8" w:rsidRDefault="005629E8" w:rsidP="005629E8">
      <w:pPr>
        <w:pStyle w:val="NormalWeb"/>
        <w:shd w:val="clear" w:color="auto" w:fill="171717"/>
        <w:ind w:left="1290"/>
        <w:rPr>
          <w:rFonts w:ascii="Segoe UI" w:hAnsi="Segoe UI" w:cs="Segoe UI"/>
          <w:color w:val="E6E6E6"/>
        </w:rPr>
      </w:pPr>
      <w:r>
        <w:rPr>
          <w:rFonts w:ascii="Segoe UI" w:hAnsi="Segoe UI" w:cs="Segoe UI"/>
          <w:color w:val="E6E6E6"/>
        </w:rPr>
        <w:t>Con Virtual Machines, puede elegir entre un disco administrado HDD estándar, un disco administrado SSD estándar, un disco SSD Premium o Disco Ultra. El acuerdo de nivel de servicio para una sola VM sería del 95 %, 99,5 % o 99,9 %, dependiendo de la opción de disco.</w:t>
      </w:r>
    </w:p>
    <w:p w14:paraId="270B9179" w14:textId="77777777" w:rsidR="005629E8" w:rsidRDefault="005629E8" w:rsidP="005629E8">
      <w:pPr>
        <w:pStyle w:val="NormalWeb"/>
        <w:numPr>
          <w:ilvl w:val="0"/>
          <w:numId w:val="10"/>
        </w:numPr>
        <w:shd w:val="clear" w:color="auto" w:fill="171717"/>
        <w:ind w:left="1290"/>
        <w:rPr>
          <w:rFonts w:ascii="Segoe UI" w:hAnsi="Segoe UI" w:cs="Segoe UI"/>
          <w:color w:val="E6E6E6"/>
        </w:rPr>
      </w:pPr>
      <w:r>
        <w:rPr>
          <w:rStyle w:val="Strong"/>
          <w:rFonts w:ascii="Segoe UI" w:hAnsi="Segoe UI" w:cs="Segoe UI"/>
          <w:color w:val="E6E6E6"/>
        </w:rPr>
        <w:t>Niveles</w:t>
      </w:r>
    </w:p>
    <w:p w14:paraId="01D88AD4" w14:textId="77777777" w:rsidR="005629E8" w:rsidRDefault="005629E8" w:rsidP="005629E8">
      <w:pPr>
        <w:pStyle w:val="NormalWeb"/>
        <w:shd w:val="clear" w:color="auto" w:fill="171717"/>
        <w:ind w:left="1290"/>
        <w:rPr>
          <w:rFonts w:ascii="Segoe UI" w:hAnsi="Segoe UI" w:cs="Segoe UI"/>
          <w:color w:val="E6E6E6"/>
        </w:rPr>
      </w:pPr>
      <w:r>
        <w:rPr>
          <w:rFonts w:ascii="Segoe UI" w:hAnsi="Segoe UI" w:cs="Segoe UI"/>
          <w:color w:val="E6E6E6"/>
        </w:rPr>
        <w:t xml:space="preserve">Algunos servicios de Azure se ofrecen como producto de nivel gratuito y como servicio de pago estándar. Por ejemplo, Azure </w:t>
      </w:r>
      <w:proofErr w:type="spellStart"/>
      <w:r>
        <w:rPr>
          <w:rFonts w:ascii="Segoe UI" w:hAnsi="Segoe UI" w:cs="Segoe UI"/>
          <w:color w:val="E6E6E6"/>
        </w:rPr>
        <w:t>Automation</w:t>
      </w:r>
      <w:proofErr w:type="spellEnd"/>
      <w:r>
        <w:rPr>
          <w:rFonts w:ascii="Segoe UI" w:hAnsi="Segoe UI" w:cs="Segoe UI"/>
          <w:color w:val="E6E6E6"/>
        </w:rPr>
        <w:t xml:space="preserve"> proporciona 500 minutos de tiempo de ejecución de trabajos en una cuenta gratuita de Azure, pero no está respaldado por un acuerdo de nivel de servicio. El acuerdo de nivel de servicio estándar para Azure </w:t>
      </w:r>
      <w:proofErr w:type="spellStart"/>
      <w:r>
        <w:rPr>
          <w:rFonts w:ascii="Segoe UI" w:hAnsi="Segoe UI" w:cs="Segoe UI"/>
          <w:color w:val="E6E6E6"/>
        </w:rPr>
        <w:t>Automation</w:t>
      </w:r>
      <w:proofErr w:type="spellEnd"/>
      <w:r>
        <w:rPr>
          <w:rFonts w:ascii="Segoe UI" w:hAnsi="Segoe UI" w:cs="Segoe UI"/>
          <w:color w:val="E6E6E6"/>
        </w:rPr>
        <w:t xml:space="preserve"> es del 99,9 %.</w:t>
      </w:r>
    </w:p>
    <w:p w14:paraId="6B529F82"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Asegúrese de que las decisiones de compra tienen en cuenta la repercusión en el acuerdo de nivel de servicio de los servicios de Azure que elija. Esto garantiza que el acuerdo de nivel de servicio sea compatible con el acuerdo de nivel de servicio necesario para su aplicación.</w:t>
      </w:r>
    </w:p>
    <w:p w14:paraId="5BBE3CC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En este caso,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podría elegir la opción Disco Ultra para sus máquinas virtuales para ayudar a garantizar un mayor tiempo de actividad.</w:t>
      </w:r>
    </w:p>
    <w:p w14:paraId="2C2EAD7C" w14:textId="77777777" w:rsidR="005629E8" w:rsidRDefault="005629E8" w:rsidP="005629E8">
      <w:pPr>
        <w:pStyle w:val="Heading3"/>
        <w:shd w:val="clear" w:color="auto" w:fill="171717"/>
        <w:spacing w:before="450" w:after="270"/>
        <w:rPr>
          <w:rFonts w:ascii="Segoe UI" w:hAnsi="Segoe UI" w:cs="Segoe UI"/>
          <w:color w:val="E6E6E6"/>
        </w:rPr>
      </w:pPr>
      <w:r>
        <w:rPr>
          <w:rFonts w:ascii="Segoe UI" w:hAnsi="Segoe UI" w:cs="Segoe UI"/>
          <w:color w:val="E6E6E6"/>
        </w:rPr>
        <w:t>Creación de requisitos de disponibilidad en el diseño</w:t>
      </w:r>
    </w:p>
    <w:p w14:paraId="15C225F2"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En el diseño de aplicaciones se pueden considerar factores relacionados con la infraestructura de la nube subyacente.</w:t>
      </w:r>
    </w:p>
    <w:p w14:paraId="54367BB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Por ejemplo, para mejorar la disponibilidad de la aplicación, evite tener únicos puntos de error. Por lo tanto, en lugar de agregar más máquinas virtuales, se pueden implementar una o más instancias adicionales de la misma máquina virtual en las diferentes zonas de disponibilidad de una misma región de Azure.</w:t>
      </w:r>
    </w:p>
    <w:p w14:paraId="493534A2"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lastRenderedPageBreak/>
        <w:t>Una </w:t>
      </w:r>
      <w:r>
        <w:rPr>
          <w:rStyle w:val="Emphasis"/>
          <w:rFonts w:ascii="Segoe UI" w:hAnsi="Segoe UI" w:cs="Segoe UI"/>
          <w:color w:val="E6E6E6"/>
        </w:rPr>
        <w:t>zona de disponibilidad</w:t>
      </w:r>
      <w:r>
        <w:rPr>
          <w:rFonts w:ascii="Segoe UI" w:hAnsi="Segoe UI" w:cs="Segoe UI"/>
          <w:color w:val="E6E6E6"/>
        </w:rPr>
        <w:t> es una ubicación física única dentro de una región de Azure. Cada zona de disponibilidad consta de uno o varios centros de datos equipados con alimentación, refrigeración y redes independientes. Estas zonas usan programaciones diferentes para el mantenimiento, por lo que, si una zona se ve afectada, la instancia de máquina virtual de la otra zona no se ve afectada.</w:t>
      </w:r>
    </w:p>
    <w:p w14:paraId="19310F2F"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La implementación de dos o más instancias de una máquina virtual de Azure en dos o más zonas de disponibilidad eleva el acuerdo de nivel de servicio de la máquina virtual al 99,99 %. Al volver a calcular el acuerdo de nivel de servicio compuesto anterior con este acuerdo de nivel de servicio de Virtual Machines, se obtiene el siguiente acuerdo:</w:t>
      </w:r>
    </w:p>
    <w:p w14:paraId="0A2039DF" w14:textId="77777777" w:rsidR="005629E8" w:rsidRDefault="005629E8" w:rsidP="005629E8">
      <w:pPr>
        <w:pStyle w:val="NormalWeb"/>
        <w:shd w:val="clear" w:color="auto" w:fill="171717"/>
        <w:spacing w:before="0" w:after="0"/>
        <w:rPr>
          <w:rFonts w:ascii="Segoe UI" w:hAnsi="Segoe UI" w:cs="Segoe UI"/>
          <w:color w:val="E6E6E6"/>
        </w:rPr>
      </w:pPr>
      <w:r>
        <w:rPr>
          <w:rStyle w:val="mjx-char"/>
          <w:rFonts w:ascii="MJXc-TeX-main-Rw" w:hAnsi="MJXc-TeX-main-Rw" w:cs="Segoe UI"/>
          <w:color w:val="E6E6E6"/>
          <w:sz w:val="27"/>
          <w:szCs w:val="27"/>
          <w:bdr w:val="none" w:sz="0" w:space="0" w:color="auto" w:frame="1"/>
        </w:rPr>
        <w:t>99.99%×99.99%×99.99%×99.99%</w:t>
      </w:r>
      <w:r>
        <w:rPr>
          <w:rStyle w:val="mjxassistivemathml"/>
          <w:rFonts w:ascii="Segoe UI" w:hAnsi="Segoe UI" w:cs="Segoe UI"/>
          <w:color w:val="E6E6E6"/>
          <w:sz w:val="27"/>
          <w:szCs w:val="27"/>
          <w:bdr w:val="none" w:sz="0" w:space="0" w:color="auto" w:frame="1"/>
        </w:rPr>
        <w:t>99.99%×99.99%×99.99%×99.99%</w:t>
      </w:r>
      <w:r>
        <w:rPr>
          <w:rStyle w:val="mjx-char"/>
          <w:rFonts w:ascii="MJXc-TeX-main-Rw" w:hAnsi="MJXc-TeX-main-Rw" w:cs="Segoe UI"/>
          <w:color w:val="E6E6E6"/>
          <w:sz w:val="27"/>
          <w:szCs w:val="27"/>
          <w:bdr w:val="none" w:sz="0" w:space="0" w:color="auto" w:frame="1"/>
        </w:rPr>
        <w:t>=99.96%</w:t>
      </w:r>
      <w:r>
        <w:rPr>
          <w:rStyle w:val="mjxassistivemathml"/>
          <w:rFonts w:ascii="Segoe UI" w:hAnsi="Segoe UI" w:cs="Segoe UI"/>
          <w:color w:val="E6E6E6"/>
          <w:sz w:val="27"/>
          <w:szCs w:val="27"/>
          <w:bdr w:val="none" w:sz="0" w:space="0" w:color="auto" w:frame="1"/>
        </w:rPr>
        <w:t>=99.96%</w:t>
      </w:r>
    </w:p>
    <w:p w14:paraId="1158D18B"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Este acuerdo de nivel de servicio revisado del 99,96 % supera el objetivo del 99,9 %.</w:t>
      </w:r>
    </w:p>
    <w:p w14:paraId="176B7773"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Para obtener más información sobre el acuerdo de nivel de servicio para Virtual Machines, visite </w:t>
      </w:r>
      <w:hyperlink r:id="rId13" w:tgtFrame="az-portal" w:history="1">
        <w:r>
          <w:rPr>
            <w:rStyle w:val="Hyperlink"/>
            <w:rFonts w:ascii="Segoe UI" w:hAnsi="Segoe UI" w:cs="Segoe UI"/>
          </w:rPr>
          <w:t>SLA para Virtual Machines</w:t>
        </w:r>
      </w:hyperlink>
      <w:r>
        <w:rPr>
          <w:rFonts w:ascii="Segoe UI" w:hAnsi="Segoe UI" w:cs="Segoe UI"/>
          <w:color w:val="E6E6E6"/>
        </w:rPr>
        <w:t>.</w:t>
      </w:r>
    </w:p>
    <w:p w14:paraId="10D221DD" w14:textId="77777777" w:rsidR="005629E8" w:rsidRDefault="005629E8" w:rsidP="005629E8">
      <w:pPr>
        <w:pStyle w:val="Heading3"/>
        <w:shd w:val="clear" w:color="auto" w:fill="171717"/>
        <w:spacing w:before="450" w:after="270"/>
        <w:rPr>
          <w:rFonts w:ascii="Segoe UI" w:hAnsi="Segoe UI" w:cs="Segoe UI"/>
          <w:color w:val="E6E6E6"/>
        </w:rPr>
      </w:pPr>
      <w:r>
        <w:rPr>
          <w:rFonts w:ascii="Segoe UI" w:hAnsi="Segoe UI" w:cs="Segoe UI"/>
          <w:color w:val="E6E6E6"/>
        </w:rPr>
        <w:t>Inclusión de redundancia para aumentar la disponibilidad</w:t>
      </w:r>
    </w:p>
    <w:p w14:paraId="6869DFC4"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Para garantizar la alta disponibilidad, se puede planear que la aplicación tenga componentes duplicados en varias regiones, lo que se conoce como </w:t>
      </w:r>
      <w:r>
        <w:rPr>
          <w:rStyle w:val="Emphasis"/>
          <w:rFonts w:ascii="Segoe UI" w:hAnsi="Segoe UI" w:cs="Segoe UI"/>
          <w:color w:val="E6E6E6"/>
        </w:rPr>
        <w:t>redundancia</w:t>
      </w:r>
      <w:r>
        <w:rPr>
          <w:rFonts w:ascii="Segoe UI" w:hAnsi="Segoe UI" w:cs="Segoe UI"/>
          <w:color w:val="E6E6E6"/>
        </w:rPr>
        <w:t xml:space="preserve">. Por otro lado, para minimizar los costos durante períodos no críticos, se puede ejecutar la aplicación únicamente en una región.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podría tener esto en cuenta si las tarifas de pedidos especiales tienden a ser mucho mayores durante determinados meses o estaciones.</w:t>
      </w:r>
    </w:p>
    <w:p w14:paraId="40BA632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Para lograr la máxima disponibilidad en la aplicación, agregue redundancia a cada parte de la aplicación. Esta redundancia incluye la propia aplicación, así como los servicios y la infraestructura subyacentes. Sin embargo, tenga en cuenta que esto puede ser difícil y caro, y a menudo da como resultado soluciones más complejas de lo necesario.</w:t>
      </w:r>
    </w:p>
    <w:p w14:paraId="497AC029"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Antes de agregar redundancia, considere si la alta disponibilidad es un requisito importante para usted, dado que puede haber formas más sencillas de satisfacer el acuerdo de nivel de servicio de la aplicación.</w:t>
      </w:r>
    </w:p>
    <w:p w14:paraId="052ABB71"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Un rendimiento muy alto es difícil de lograr</w:t>
      </w:r>
    </w:p>
    <w:p w14:paraId="536589A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Los objetivos de rendimiento por encima del 99,99 % son muy difíciles de lograr. Un acuerdo de nivel de servicio del 99,99 % equivale a 1 minuto de tiempo de inactividad por semana. Es difícil responder a errores con la rapidez suficiente para satisfacer los objetivos de rendimiento de acuerdos de nivel de servicio que superen el 99,99 %. En su lugar, si se produce una interrupción, la aplicación debe ser capaz de realizar un diagnóstico y una reparación de manera automática.</w:t>
      </w:r>
    </w:p>
    <w:p w14:paraId="4F05F656" w14:textId="77777777" w:rsidR="005629E8" w:rsidRDefault="005629E8" w:rsidP="005629E8">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Acceso a la versión preliminar de servicios y características</w:t>
      </w:r>
    </w:p>
    <w:p w14:paraId="32C83156" w14:textId="77777777" w:rsidR="005629E8" w:rsidRDefault="005629E8" w:rsidP="005629E8">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45197FE4" w14:textId="77777777" w:rsidR="005629E8" w:rsidRDefault="005629E8" w:rsidP="005629E8">
      <w:pPr>
        <w:numPr>
          <w:ilvl w:val="0"/>
          <w:numId w:val="11"/>
        </w:numPr>
        <w:shd w:val="clear" w:color="auto" w:fill="171717"/>
        <w:spacing w:after="0" w:line="240" w:lineRule="auto"/>
        <w:rPr>
          <w:rFonts w:ascii="Segoe UI" w:hAnsi="Segoe UI" w:cs="Segoe UI"/>
        </w:rPr>
      </w:pPr>
      <w:r>
        <w:rPr>
          <w:rFonts w:ascii="Segoe UI" w:hAnsi="Segoe UI" w:cs="Segoe UI"/>
        </w:rPr>
        <w:t>4 minutos</w:t>
      </w:r>
    </w:p>
    <w:p w14:paraId="7E4C2AE3"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Ahora que la empresa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tiene sus aplicaciones en funcionamiento en Azure, quiere empezar a examinar nuevas funcionalidades de Azure. Una opción consiste en consultar los servicios en versión preliminar. En este módulo, obtendrá información sobre cómo los servicios de Azure pasan de la fase de versión preliminar a la disponibilidad general del producto integrado en Azure.</w:t>
      </w:r>
    </w:p>
    <w:p w14:paraId="4B16373B"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 xml:space="preserve">En el caso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la migración desde el centro de datos a Azure tiene más que ver con la eficacia operativa. El equipo de investigación y desarrollo está examinando nuevas características basadas en la nube que les darán ventaja sobre sus competidores.</w:t>
      </w:r>
    </w:p>
    <w:p w14:paraId="2E51BA83" w14:textId="77777777" w:rsidR="005629E8" w:rsidRDefault="005629E8" w:rsidP="005629E8">
      <w:pPr>
        <w:pStyle w:val="NormalWeb"/>
        <w:shd w:val="clear" w:color="auto" w:fill="171717"/>
        <w:rPr>
          <w:rFonts w:ascii="Segoe UI" w:hAnsi="Segoe UI" w:cs="Segoe UI"/>
          <w:color w:val="E6E6E6"/>
        </w:rPr>
      </w:pP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se encuentra en las fases de desarrollo de la creación de un sistema de entregas mediante drones para clientes en zonas rurales. La empresa necesita que el sistema de orientación de los drones sea capaz de realizar el seguimiento en tiempo real de las tormentas, pero la característica todavía no está disponible. Recientemente se ha publicado un servicio AI Storm </w:t>
      </w:r>
      <w:proofErr w:type="spellStart"/>
      <w:r>
        <w:rPr>
          <w:rFonts w:ascii="Segoe UI" w:hAnsi="Segoe UI" w:cs="Segoe UI"/>
          <w:color w:val="E6E6E6"/>
        </w:rPr>
        <w:t>Analyzer</w:t>
      </w:r>
      <w:proofErr w:type="spellEnd"/>
      <w:r>
        <w:rPr>
          <w:rFonts w:ascii="Segoe UI" w:hAnsi="Segoe UI" w:cs="Segoe UI"/>
          <w:color w:val="E6E6E6"/>
        </w:rPr>
        <w:t xml:space="preserve"> en la fase de versión preliminar pública. El equipo de RD&amp; de </w:t>
      </w:r>
      <w:proofErr w:type="spellStart"/>
      <w:r>
        <w:rPr>
          <w:rFonts w:ascii="Segoe UI" w:hAnsi="Segoe UI" w:cs="Segoe UI"/>
          <w:color w:val="E6E6E6"/>
        </w:rPr>
        <w:t>Tailwind</w:t>
      </w:r>
      <w:proofErr w:type="spellEnd"/>
      <w:r>
        <w:rPr>
          <w:rFonts w:ascii="Segoe UI" w:hAnsi="Segoe UI" w:cs="Segoe UI"/>
          <w:color w:val="E6E6E6"/>
        </w:rPr>
        <w:t xml:space="preserve"> </w:t>
      </w:r>
      <w:proofErr w:type="spellStart"/>
      <w:r>
        <w:rPr>
          <w:rFonts w:ascii="Segoe UI" w:hAnsi="Segoe UI" w:cs="Segoe UI"/>
          <w:color w:val="E6E6E6"/>
        </w:rPr>
        <w:t>Traders</w:t>
      </w:r>
      <w:proofErr w:type="spellEnd"/>
      <w:r>
        <w:rPr>
          <w:rFonts w:ascii="Segoe UI" w:hAnsi="Segoe UI" w:cs="Segoe UI"/>
          <w:color w:val="E6E6E6"/>
        </w:rPr>
        <w:t xml:space="preserve"> ha decidido incorporar el servicio de versión preliminar en las primeras fases de las pruebas de aplicaciones.</w:t>
      </w:r>
    </w:p>
    <w:p w14:paraId="106CF288" w14:textId="77777777" w:rsidR="005629E8" w:rsidRDefault="005629E8" w:rsidP="005629E8">
      <w:pPr>
        <w:pStyle w:val="alert-title"/>
        <w:spacing w:before="0" w:beforeAutospacing="0" w:after="0" w:afterAutospacing="0"/>
        <w:rPr>
          <w:rFonts w:ascii="Segoe UI" w:hAnsi="Segoe UI" w:cs="Segoe UI"/>
          <w:b/>
          <w:bCs/>
          <w:color w:val="E6E6E6"/>
        </w:rPr>
      </w:pPr>
      <w:r>
        <w:rPr>
          <w:rFonts w:ascii="Segoe UI" w:hAnsi="Segoe UI" w:cs="Segoe UI"/>
          <w:b/>
          <w:bCs/>
          <w:color w:val="E6E6E6"/>
        </w:rPr>
        <w:t> Nota</w:t>
      </w:r>
    </w:p>
    <w:p w14:paraId="3EA11510" w14:textId="77777777" w:rsidR="005629E8" w:rsidRDefault="005629E8" w:rsidP="005629E8">
      <w:pPr>
        <w:pStyle w:val="NormalWeb"/>
        <w:rPr>
          <w:rFonts w:ascii="Segoe UI" w:hAnsi="Segoe UI" w:cs="Segoe UI"/>
          <w:color w:val="E6E6E6"/>
        </w:rPr>
      </w:pPr>
      <w:r>
        <w:rPr>
          <w:rFonts w:ascii="Segoe UI" w:hAnsi="Segoe UI" w:cs="Segoe UI"/>
          <w:color w:val="E6E6E6"/>
        </w:rPr>
        <w:t xml:space="preserve">AI Storm </w:t>
      </w:r>
      <w:proofErr w:type="spellStart"/>
      <w:r>
        <w:rPr>
          <w:rFonts w:ascii="Segoe UI" w:hAnsi="Segoe UI" w:cs="Segoe UI"/>
          <w:color w:val="E6E6E6"/>
        </w:rPr>
        <w:t>Analyzer</w:t>
      </w:r>
      <w:proofErr w:type="spellEnd"/>
      <w:r>
        <w:rPr>
          <w:rFonts w:ascii="Segoe UI" w:hAnsi="Segoe UI" w:cs="Segoe UI"/>
          <w:color w:val="E6E6E6"/>
        </w:rPr>
        <w:t xml:space="preserve"> es un servicio ficticio de Azure, que se presenta aquí únicamente con fines ilustrativos.</w:t>
      </w:r>
    </w:p>
    <w:p w14:paraId="44B1CF7E"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lastRenderedPageBreak/>
        <w:t>Antes de que el equipo siga avanzando, quiere tener claro cómo van a afectar los servicios de versión preliminar a su acuerdo de nivel de servicio. Comencemos por definir el ciclo de vida de los servicios de Azure.</w:t>
      </w:r>
    </w:p>
    <w:p w14:paraId="7471F5F4"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es el ciclo de vida de un servicio?</w:t>
      </w:r>
    </w:p>
    <w:p w14:paraId="52F5820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El </w:t>
      </w:r>
      <w:r>
        <w:rPr>
          <w:rStyle w:val="Emphasis"/>
          <w:rFonts w:ascii="Segoe UI" w:eastAsiaTheme="majorEastAsia" w:hAnsi="Segoe UI" w:cs="Segoe UI"/>
          <w:color w:val="E6E6E6"/>
        </w:rPr>
        <w:t>ciclo de vida de un servicio</w:t>
      </w:r>
      <w:r>
        <w:rPr>
          <w:rFonts w:ascii="Segoe UI" w:hAnsi="Segoe UI" w:cs="Segoe UI"/>
          <w:color w:val="E6E6E6"/>
        </w:rPr>
        <w:t> define la forma en que cada servicio de Azure se pone a disposición del público.</w:t>
      </w:r>
    </w:p>
    <w:p w14:paraId="2F8A586E"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Cada servicio de Azure empieza con fase de desarrollo. En esta fase, el equipo de Azure recopila y define los requisitos y comienza a crear el servicio.</w:t>
      </w:r>
    </w:p>
    <w:p w14:paraId="696F4089"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 continuación, el servicio pasa a la fase de versión preliminar pública. Durante esta fase, el público puede acceder al servicio, experimentar con él y proporcionar comentarios reales. Los comentarios ayudan a Microsoft a mejorar los servicios. Lo que es más importante, proporcionar comentarios le ofrece la oportunidad de solicitar funcionalidades nuevas o diferentes para que los servicios se adapten mejor a sus necesidades.</w:t>
      </w:r>
    </w:p>
    <w:p w14:paraId="6C0BBA0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Una vez que se valida y se prueba un servicio de Azure nuevo, se pone a disposición de todos los clientes como servicio listo para la producción. Esto se conoce como </w:t>
      </w:r>
      <w:r>
        <w:rPr>
          <w:rStyle w:val="Emphasis"/>
          <w:rFonts w:ascii="Segoe UI" w:eastAsiaTheme="majorEastAsia" w:hAnsi="Segoe UI" w:cs="Segoe UI"/>
          <w:color w:val="E6E6E6"/>
        </w:rPr>
        <w:t>disponibilidad general</w:t>
      </w:r>
      <w:r>
        <w:rPr>
          <w:rFonts w:ascii="Segoe UI" w:hAnsi="Segoe UI" w:cs="Segoe UI"/>
          <w:color w:val="E6E6E6"/>
        </w:rPr>
        <w:t> (GA).</w:t>
      </w:r>
    </w:p>
    <w:p w14:paraId="18ECC530"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¿Qué términos y condiciones se pueden esperar?</w:t>
      </w:r>
    </w:p>
    <w:p w14:paraId="4E5574B7"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Cada versión preliminar de Azure define sus propios términos y condiciones. Todos </w:t>
      </w:r>
      <w:hyperlink r:id="rId14" w:history="1">
        <w:r>
          <w:rPr>
            <w:rStyle w:val="Hyperlink"/>
            <w:rFonts w:ascii="Segoe UI" w:hAnsi="Segoe UI" w:cs="Segoe UI"/>
          </w:rPr>
          <w:t>los términos y condiciones específicos de la versión preliminar se excluyen de los contratos de nivel de servicio y la garantía limitada</w:t>
        </w:r>
      </w:hyperlink>
      <w:r>
        <w:rPr>
          <w:rFonts w:ascii="Segoe UI" w:hAnsi="Segoe UI" w:cs="Segoe UI"/>
          <w:color w:val="E6E6E6"/>
        </w:rPr>
        <w:t>.</w:t>
      </w:r>
    </w:p>
    <w:p w14:paraId="3F6B65C0"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Es posible que algunas versiones preliminares no estén cubiertas por el soporte técnico al cliente y puedan estar sujetas a compromisos de seguridad, cumplimiento y privacidad reducidos o diferentes. Por estos motivos, no se recomienda usar esas versiones preliminares para cargas de trabajo críticas para la empresa.</w:t>
      </w:r>
    </w:p>
    <w:p w14:paraId="162B455A"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se puede acceder a los servicios de versión preliminar?</w:t>
      </w:r>
    </w:p>
    <w:p w14:paraId="151055EE"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lastRenderedPageBreak/>
        <w:t>Se puede acceder a ellos desde Azure Portal.</w:t>
      </w:r>
    </w:p>
    <w:p w14:paraId="2EBD42D6"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Siga estos pasos para ver qué servicios están disponibles en versión preliminar. Puede seguir adelante si tiene una suscripción a Azure.</w:t>
      </w:r>
    </w:p>
    <w:p w14:paraId="2DB9C823" w14:textId="77777777" w:rsidR="005629E8" w:rsidRDefault="005629E8" w:rsidP="005629E8">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Abra </w:t>
      </w:r>
      <w:hyperlink r:id="rId15" w:tgtFrame="az-portal" w:history="1">
        <w:r>
          <w:rPr>
            <w:rStyle w:val="Hyperlink"/>
            <w:rFonts w:ascii="Segoe UI" w:hAnsi="Segoe UI" w:cs="Segoe UI"/>
          </w:rPr>
          <w:t>Azure Portal</w:t>
        </w:r>
      </w:hyperlink>
      <w:r>
        <w:rPr>
          <w:rFonts w:ascii="Segoe UI" w:hAnsi="Segoe UI" w:cs="Segoe UI"/>
          <w:color w:val="E6E6E6"/>
        </w:rPr>
        <w:t> e inicie sesión.</w:t>
      </w:r>
    </w:p>
    <w:p w14:paraId="4B3FA9A0" w14:textId="77777777" w:rsidR="005629E8" w:rsidRDefault="005629E8" w:rsidP="005629E8">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Seleccione </w:t>
      </w:r>
      <w:r>
        <w:rPr>
          <w:rStyle w:val="Strong"/>
          <w:rFonts w:ascii="Segoe UI" w:hAnsi="Segoe UI" w:cs="Segoe UI"/>
          <w:color w:val="E6E6E6"/>
        </w:rPr>
        <w:t>Crear un recurso</w:t>
      </w:r>
      <w:r>
        <w:rPr>
          <w:rFonts w:ascii="Segoe UI" w:hAnsi="Segoe UI" w:cs="Segoe UI"/>
          <w:color w:val="E6E6E6"/>
        </w:rPr>
        <w:t>.</w:t>
      </w:r>
    </w:p>
    <w:p w14:paraId="645B40D4" w14:textId="77777777" w:rsidR="005629E8" w:rsidRDefault="005629E8" w:rsidP="005629E8">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Escriba </w:t>
      </w:r>
      <w:r>
        <w:rPr>
          <w:rStyle w:val="Emphasis"/>
          <w:rFonts w:ascii="Segoe UI" w:hAnsi="Segoe UI" w:cs="Segoe UI"/>
          <w:color w:val="E6E6E6"/>
        </w:rPr>
        <w:t>versión preliminar</w:t>
      </w:r>
      <w:r>
        <w:rPr>
          <w:rFonts w:ascii="Segoe UI" w:hAnsi="Segoe UI" w:cs="Segoe UI"/>
          <w:color w:val="E6E6E6"/>
        </w:rPr>
        <w:t> en el cuadro de búsqueda y seleccione </w:t>
      </w:r>
      <w:r>
        <w:rPr>
          <w:rStyle w:val="Strong"/>
          <w:rFonts w:ascii="Segoe UI" w:hAnsi="Segoe UI" w:cs="Segoe UI"/>
          <w:color w:val="E6E6E6"/>
        </w:rPr>
        <w:t>ENTRAR</w:t>
      </w:r>
      <w:r>
        <w:rPr>
          <w:rFonts w:ascii="Segoe UI" w:hAnsi="Segoe UI" w:cs="Segoe UI"/>
          <w:color w:val="E6E6E6"/>
        </w:rPr>
        <w:t>.</w:t>
      </w:r>
    </w:p>
    <w:p w14:paraId="1BD2FFD3" w14:textId="77777777" w:rsidR="005629E8" w:rsidRDefault="005629E8" w:rsidP="005629E8">
      <w:pPr>
        <w:numPr>
          <w:ilvl w:val="0"/>
          <w:numId w:val="12"/>
        </w:numPr>
        <w:shd w:val="clear" w:color="auto" w:fill="171717"/>
        <w:spacing w:after="0" w:line="240" w:lineRule="auto"/>
        <w:ind w:left="1290"/>
        <w:rPr>
          <w:rFonts w:ascii="Segoe UI" w:hAnsi="Segoe UI" w:cs="Segoe UI"/>
          <w:color w:val="E6E6E6"/>
        </w:rPr>
      </w:pPr>
      <w:r>
        <w:rPr>
          <w:rFonts w:ascii="Segoe UI" w:hAnsi="Segoe UI" w:cs="Segoe UI"/>
          <w:color w:val="E6E6E6"/>
        </w:rPr>
        <w:t>Seleccione un servicio de versión preliminar para obtener más información sobre él. También puede iniciar el servicio si desea probarlo.</w:t>
      </w:r>
    </w:p>
    <w:p w14:paraId="08AD1055"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se puede acceder a las nuevas características de un servicio existente?</w:t>
      </w:r>
    </w:p>
    <w:p w14:paraId="725835B6"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Algunas características en versión preliminar están relacionadas con un área específica de un servicio de Azure existente. Por ejemplo, un servicio de cálculo o de base de datos que use diariamente podría proporcionar una funcionalidad mejorada. Estas características en versión preliminar están disponibles al implementar, configurar y administrar el servicio.</w:t>
      </w:r>
    </w:p>
    <w:p w14:paraId="3D11871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Aunque una característica en versión preliminar de Azure se puede usar en producción, asegúrese de conocer las limitaciones antes de implementarla en un entorno de producción.</w:t>
      </w:r>
    </w:p>
    <w:p w14:paraId="647886D9"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se puede acceder a las características en versión preliminar para Azure Portal?</w:t>
      </w:r>
    </w:p>
    <w:p w14:paraId="7EDA1895"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Puede acceder a las características en versión preliminar que son específicas de Azure Portal en </w:t>
      </w:r>
      <w:hyperlink r:id="rId16" w:tgtFrame="az-portal" w:history="1">
        <w:r>
          <w:rPr>
            <w:rStyle w:val="Hyperlink"/>
            <w:rFonts w:ascii="Segoe UI" w:hAnsi="Segoe UI" w:cs="Segoe UI"/>
          </w:rPr>
          <w:t>Microsoft Azure (versión preliminar)</w:t>
        </w:r>
      </w:hyperlink>
      <w:r>
        <w:rPr>
          <w:rFonts w:ascii="Segoe UI" w:hAnsi="Segoe UI" w:cs="Segoe UI"/>
          <w:color w:val="E6E6E6"/>
        </w:rPr>
        <w:t>.</w:t>
      </w:r>
    </w:p>
    <w:p w14:paraId="0FEDFF99"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Las características en versión preliminar típicas del portal proporcionan mejoras de rendimiento, navegación y accesibilidad a la interfaz de Azure Portal.</w:t>
      </w:r>
    </w:p>
    <w:p w14:paraId="3873409D"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Cuando se usa la versión preliminar de Azure Portal, se muestra </w:t>
      </w:r>
      <w:r>
        <w:rPr>
          <w:rStyle w:val="Strong"/>
          <w:rFonts w:ascii="Segoe UI" w:hAnsi="Segoe UI" w:cs="Segoe UI"/>
          <w:color w:val="E6E6E6"/>
        </w:rPr>
        <w:t>Microsoft Azure (versión preliminar)</w:t>
      </w:r>
      <w:r>
        <w:rPr>
          <w:rFonts w:ascii="Segoe UI" w:hAnsi="Segoe UI" w:cs="Segoe UI"/>
          <w:color w:val="E6E6E6"/>
        </w:rPr>
        <w:t> en el encabezado de página para recordarle qué versión de Azure Portal usa. Las características en versión preliminar pública que están disponibles opcionalmente también se etiquetan con </w:t>
      </w:r>
      <w:r>
        <w:rPr>
          <w:rStyle w:val="Emphasis"/>
          <w:rFonts w:ascii="Segoe UI" w:eastAsiaTheme="majorEastAsia" w:hAnsi="Segoe UI" w:cs="Segoe UI"/>
          <w:color w:val="E6E6E6"/>
        </w:rPr>
        <w:t>(versión preliminar)</w:t>
      </w:r>
      <w:r>
        <w:rPr>
          <w:rFonts w:ascii="Segoe UI" w:hAnsi="Segoe UI" w:cs="Segoe UI"/>
          <w:color w:val="E6E6E6"/>
        </w:rPr>
        <w:t> en las páginas de Azure.</w:t>
      </w:r>
    </w:p>
    <w:p w14:paraId="38828B12" w14:textId="3D0E101D" w:rsidR="005629E8" w:rsidRDefault="005629E8" w:rsidP="005629E8">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4265C578" wp14:editId="34C32277">
            <wp:extent cx="2476500" cy="1866900"/>
            <wp:effectExtent l="0" t="0" r="0" b="0"/>
            <wp:docPr id="6" name="Picture 6" descr="Screenshot of Azure page header showing the global element Microsoft Azure (Previe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zure page header showing the global element Microsoft Azure (Preview) highligh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6500" cy="1866900"/>
                    </a:xfrm>
                    <a:prstGeom prst="rect">
                      <a:avLst/>
                    </a:prstGeom>
                    <a:noFill/>
                    <a:ln>
                      <a:noFill/>
                    </a:ln>
                  </pic:spPr>
                </pic:pic>
              </a:graphicData>
            </a:graphic>
          </wp:inline>
        </w:drawing>
      </w:r>
    </w:p>
    <w:p w14:paraId="031E08AF" w14:textId="77777777" w:rsidR="005629E8" w:rsidRDefault="005629E8" w:rsidP="005629E8">
      <w:pPr>
        <w:pStyle w:val="Heading3"/>
        <w:shd w:val="clear" w:color="auto" w:fill="171717"/>
        <w:spacing w:before="450" w:after="270"/>
        <w:rPr>
          <w:rFonts w:ascii="Segoe UI" w:hAnsi="Segoe UI" w:cs="Segoe UI"/>
          <w:color w:val="E6E6E6"/>
        </w:rPr>
      </w:pPr>
      <w:r>
        <w:rPr>
          <w:rFonts w:ascii="Segoe UI" w:hAnsi="Segoe UI" w:cs="Segoe UI"/>
          <w:color w:val="E6E6E6"/>
        </w:rPr>
        <w:t>¿Cómo puedo proporcionar comentarios en Azure Portal?</w:t>
      </w:r>
    </w:p>
    <w:p w14:paraId="323FDE91"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Se pueden proporcionar en varios sitios:</w:t>
      </w:r>
    </w:p>
    <w:p w14:paraId="574A34F9" w14:textId="77777777" w:rsidR="005629E8" w:rsidRDefault="005629E8" w:rsidP="005629E8">
      <w:pPr>
        <w:pStyle w:val="NormalWeb"/>
        <w:numPr>
          <w:ilvl w:val="0"/>
          <w:numId w:val="13"/>
        </w:numPr>
        <w:shd w:val="clear" w:color="auto" w:fill="171717"/>
        <w:ind w:left="1290"/>
        <w:rPr>
          <w:rFonts w:ascii="Segoe UI" w:hAnsi="Segoe UI" w:cs="Segoe UI"/>
          <w:color w:val="E6E6E6"/>
        </w:rPr>
      </w:pPr>
      <w:r>
        <w:rPr>
          <w:rFonts w:ascii="Segoe UI" w:hAnsi="Segoe UI" w:cs="Segoe UI"/>
          <w:color w:val="E6E6E6"/>
        </w:rPr>
        <w:t>En cualquiera de los 124 foros de servicios de Azure, vaya a la </w:t>
      </w:r>
      <w:hyperlink r:id="rId18" w:history="1">
        <w:r>
          <w:rPr>
            <w:rStyle w:val="Hyperlink"/>
            <w:rFonts w:ascii="Segoe UI" w:hAnsi="Segoe UI" w:cs="Segoe UI"/>
          </w:rPr>
          <w:t>página de ideas de la comunidad de comentarios de Azure</w:t>
        </w:r>
      </w:hyperlink>
      <w:r>
        <w:rPr>
          <w:rFonts w:ascii="Segoe UI" w:hAnsi="Segoe UI" w:cs="Segoe UI"/>
          <w:color w:val="E6E6E6"/>
        </w:rPr>
        <w:t>.</w:t>
      </w:r>
    </w:p>
    <w:p w14:paraId="54DF0C32" w14:textId="77777777" w:rsidR="005629E8" w:rsidRDefault="005629E8" w:rsidP="005629E8">
      <w:pPr>
        <w:pStyle w:val="NormalWeb"/>
        <w:numPr>
          <w:ilvl w:val="0"/>
          <w:numId w:val="13"/>
        </w:numPr>
        <w:shd w:val="clear" w:color="auto" w:fill="171717"/>
        <w:ind w:left="1290"/>
        <w:rPr>
          <w:rFonts w:ascii="Segoe UI" w:hAnsi="Segoe UI" w:cs="Segoe UI"/>
          <w:color w:val="E6E6E6"/>
        </w:rPr>
      </w:pPr>
      <w:r>
        <w:rPr>
          <w:rFonts w:ascii="Segoe UI" w:hAnsi="Segoe UI" w:cs="Segoe UI"/>
          <w:color w:val="E6E6E6"/>
        </w:rPr>
        <w:t>La pestaña </w:t>
      </w:r>
      <w:r>
        <w:rPr>
          <w:rStyle w:val="Strong"/>
          <w:rFonts w:ascii="Segoe UI" w:hAnsi="Segoe UI" w:cs="Segoe UI"/>
          <w:color w:val="E6E6E6"/>
        </w:rPr>
        <w:t>Comentarios</w:t>
      </w:r>
      <w:r>
        <w:rPr>
          <w:rFonts w:ascii="Segoe UI" w:hAnsi="Segoe UI" w:cs="Segoe UI"/>
          <w:color w:val="E6E6E6"/>
        </w:rPr>
        <w:t> de Azure Portal.</w:t>
      </w:r>
    </w:p>
    <w:p w14:paraId="0BE3CEE8" w14:textId="0D10599A" w:rsidR="005629E8" w:rsidRDefault="005629E8" w:rsidP="005629E8">
      <w:pPr>
        <w:pStyle w:val="NormalWeb"/>
        <w:shd w:val="clear" w:color="auto" w:fill="171717"/>
        <w:ind w:left="1290"/>
        <w:rPr>
          <w:rFonts w:ascii="Segoe UI" w:hAnsi="Segoe UI" w:cs="Segoe UI"/>
          <w:color w:val="E6E6E6"/>
        </w:rPr>
      </w:pPr>
      <w:r>
        <w:rPr>
          <w:rFonts w:ascii="Segoe UI" w:hAnsi="Segoe UI" w:cs="Segoe UI"/>
          <w:noProof/>
          <w:color w:val="E6E6E6"/>
        </w:rPr>
        <w:lastRenderedPageBreak/>
        <w:drawing>
          <wp:inline distT="0" distB="0" distL="0" distR="0" wp14:anchorId="55556588" wp14:editId="66EF800D">
            <wp:extent cx="3238500" cy="5362575"/>
            <wp:effectExtent l="0" t="0" r="0" b="9525"/>
            <wp:docPr id="5" name="Picture 5" descr="Screenshot of the Azure portal showing the Feedback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the Azure portal showing the Feedback ta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8500" cy="5362575"/>
                    </a:xfrm>
                    <a:prstGeom prst="rect">
                      <a:avLst/>
                    </a:prstGeom>
                    <a:noFill/>
                    <a:ln>
                      <a:noFill/>
                    </a:ln>
                  </pic:spPr>
                </pic:pic>
              </a:graphicData>
            </a:graphic>
          </wp:inline>
        </w:drawing>
      </w:r>
    </w:p>
    <w:p w14:paraId="3D854D9C" w14:textId="77777777" w:rsidR="005629E8" w:rsidRDefault="005629E8" w:rsidP="005629E8">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¿Cómo puedo mantenerme informado de las últimas novedades?</w:t>
      </w:r>
    </w:p>
    <w:p w14:paraId="3DFF1D68"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En la página </w:t>
      </w:r>
      <w:hyperlink r:id="rId20" w:tgtFrame="az-portal" w:history="1">
        <w:r>
          <w:rPr>
            <w:rStyle w:val="Hyperlink"/>
            <w:rFonts w:ascii="Segoe UI" w:hAnsi="Segoe UI" w:cs="Segoe UI"/>
          </w:rPr>
          <w:t>Actualizaciones de Azure</w:t>
        </w:r>
      </w:hyperlink>
      <w:r>
        <w:rPr>
          <w:rFonts w:ascii="Segoe UI" w:hAnsi="Segoe UI" w:cs="Segoe UI"/>
          <w:color w:val="E6E6E6"/>
        </w:rPr>
        <w:t> se ofrece información sobre las últimas actualizaciones de productos, servicios y características de Azure, y hojas de ruta y anuncios de productos.</w:t>
      </w:r>
    </w:p>
    <w:p w14:paraId="7F180069" w14:textId="77777777" w:rsidR="005629E8" w:rsidRDefault="005629E8" w:rsidP="005629E8">
      <w:pPr>
        <w:pStyle w:val="NormalWeb"/>
        <w:shd w:val="clear" w:color="auto" w:fill="171717"/>
        <w:rPr>
          <w:rFonts w:ascii="Segoe UI" w:hAnsi="Segoe UI" w:cs="Segoe UI"/>
          <w:color w:val="E6E6E6"/>
        </w:rPr>
      </w:pPr>
      <w:r>
        <w:rPr>
          <w:rFonts w:ascii="Segoe UI" w:hAnsi="Segoe UI" w:cs="Segoe UI"/>
          <w:color w:val="E6E6E6"/>
        </w:rPr>
        <w:t>En la página actualizaciones de Azure, puede:</w:t>
      </w:r>
    </w:p>
    <w:p w14:paraId="56D4AFFC" w14:textId="77777777"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ver los detalles de todas las actualizaciones de Azure;</w:t>
      </w:r>
    </w:p>
    <w:p w14:paraId="3870297E" w14:textId="1FF8B7EC"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lastRenderedPageBreak/>
        <w:t>Vea qué actualizaciones están ahora disponibles, en versión preliminar o en desarrollo. </w:t>
      </w:r>
      <w:r>
        <w:rPr>
          <w:rFonts w:ascii="Segoe UI" w:hAnsi="Segoe UI" w:cs="Segoe UI"/>
          <w:noProof/>
          <w:color w:val="E6E6E6"/>
        </w:rPr>
        <w:drawing>
          <wp:inline distT="0" distB="0" distL="0" distR="0" wp14:anchorId="4825038C" wp14:editId="013316A7">
            <wp:extent cx="5124450" cy="666750"/>
            <wp:effectExtent l="0" t="0" r="0" b="0"/>
            <wp:docPr id="4" name="Picture 4" descr="Screenshot of the Azure updates page showing how to filter services by now available, in preview, or i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Azure updates page showing how to filter services by now available, in preview, or in develop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666750"/>
                    </a:xfrm>
                    <a:prstGeom prst="rect">
                      <a:avLst/>
                    </a:prstGeom>
                    <a:noFill/>
                    <a:ln>
                      <a:noFill/>
                    </a:ln>
                  </pic:spPr>
                </pic:pic>
              </a:graphicData>
            </a:graphic>
          </wp:inline>
        </w:drawing>
      </w:r>
    </w:p>
    <w:p w14:paraId="41F4A389" w14:textId="77777777"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examinar actualizaciones por categoría de producto o tipo de actualización;</w:t>
      </w:r>
    </w:p>
    <w:p w14:paraId="613293A9" w14:textId="77777777"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buscar actualizaciones por palabra clave;</w:t>
      </w:r>
    </w:p>
    <w:p w14:paraId="6C57B2E0" w14:textId="77777777"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suscribirse a una fuente RSS para recibir notificaciones;</w:t>
      </w:r>
    </w:p>
    <w:p w14:paraId="7B763E92" w14:textId="77777777" w:rsidR="005629E8" w:rsidRDefault="005629E8" w:rsidP="005629E8">
      <w:pPr>
        <w:numPr>
          <w:ilvl w:val="0"/>
          <w:numId w:val="14"/>
        </w:numPr>
        <w:shd w:val="clear" w:color="auto" w:fill="171717"/>
        <w:spacing w:after="0" w:line="240" w:lineRule="auto"/>
        <w:ind w:left="1290"/>
        <w:rPr>
          <w:rFonts w:ascii="Segoe UI" w:hAnsi="Segoe UI" w:cs="Segoe UI"/>
          <w:color w:val="E6E6E6"/>
        </w:rPr>
      </w:pPr>
      <w:r>
        <w:rPr>
          <w:rFonts w:ascii="Segoe UI" w:hAnsi="Segoe UI" w:cs="Segoe UI"/>
          <w:color w:val="E6E6E6"/>
        </w:rPr>
        <w:t>Acceso a la página de Microsoft </w:t>
      </w:r>
      <w:proofErr w:type="spellStart"/>
      <w:r>
        <w:rPr>
          <w:rFonts w:ascii="Segoe UI" w:hAnsi="Segoe UI" w:cs="Segoe UI"/>
          <w:color w:val="E6E6E6"/>
        </w:rPr>
        <w:t>Connect</w:t>
      </w:r>
      <w:proofErr w:type="spellEnd"/>
      <w:r>
        <w:rPr>
          <w:rFonts w:ascii="Segoe UI" w:hAnsi="Segoe UI" w:cs="Segoe UI"/>
          <w:color w:val="E6E6E6"/>
        </w:rPr>
        <w:t xml:space="preserve"> para leer anuncios y noticias de productos de Azure.</w:t>
      </w:r>
    </w:p>
    <w:p w14:paraId="624EC123" w14:textId="77777777" w:rsidR="008A1C44" w:rsidRDefault="008A1C44"/>
    <w:sectPr w:rsidR="008A1C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F55"/>
    <w:multiLevelType w:val="multilevel"/>
    <w:tmpl w:val="FBEE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63724"/>
    <w:multiLevelType w:val="multilevel"/>
    <w:tmpl w:val="1B06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D2E36"/>
    <w:multiLevelType w:val="multilevel"/>
    <w:tmpl w:val="3842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11AD7"/>
    <w:multiLevelType w:val="multilevel"/>
    <w:tmpl w:val="C71A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92F0E"/>
    <w:multiLevelType w:val="multilevel"/>
    <w:tmpl w:val="ECA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657A9"/>
    <w:multiLevelType w:val="multilevel"/>
    <w:tmpl w:val="8FD0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1F59CE"/>
    <w:multiLevelType w:val="multilevel"/>
    <w:tmpl w:val="043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F25BB"/>
    <w:multiLevelType w:val="multilevel"/>
    <w:tmpl w:val="3BAE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6490C"/>
    <w:multiLevelType w:val="multilevel"/>
    <w:tmpl w:val="44EA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9F7770"/>
    <w:multiLevelType w:val="multilevel"/>
    <w:tmpl w:val="AF4E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F2764E"/>
    <w:multiLevelType w:val="multilevel"/>
    <w:tmpl w:val="A79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00977"/>
    <w:multiLevelType w:val="multilevel"/>
    <w:tmpl w:val="AA18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1748F2"/>
    <w:multiLevelType w:val="multilevel"/>
    <w:tmpl w:val="7672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462AB"/>
    <w:multiLevelType w:val="multilevel"/>
    <w:tmpl w:val="0B7E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784061">
    <w:abstractNumId w:val="9"/>
  </w:num>
  <w:num w:numId="2" w16cid:durableId="1804617737">
    <w:abstractNumId w:val="8"/>
  </w:num>
  <w:num w:numId="3" w16cid:durableId="1155950074">
    <w:abstractNumId w:val="0"/>
  </w:num>
  <w:num w:numId="4" w16cid:durableId="1012759815">
    <w:abstractNumId w:val="7"/>
  </w:num>
  <w:num w:numId="5" w16cid:durableId="1522015523">
    <w:abstractNumId w:val="5"/>
  </w:num>
  <w:num w:numId="6" w16cid:durableId="69818523">
    <w:abstractNumId w:val="11"/>
  </w:num>
  <w:num w:numId="7" w16cid:durableId="33312894">
    <w:abstractNumId w:val="12"/>
  </w:num>
  <w:num w:numId="8" w16cid:durableId="1691177513">
    <w:abstractNumId w:val="2"/>
  </w:num>
  <w:num w:numId="9" w16cid:durableId="801460786">
    <w:abstractNumId w:val="6"/>
  </w:num>
  <w:num w:numId="10" w16cid:durableId="2098551030">
    <w:abstractNumId w:val="1"/>
  </w:num>
  <w:num w:numId="11" w16cid:durableId="850534163">
    <w:abstractNumId w:val="13"/>
  </w:num>
  <w:num w:numId="12" w16cid:durableId="1716195457">
    <w:abstractNumId w:val="3"/>
  </w:num>
  <w:num w:numId="13" w16cid:durableId="1314678995">
    <w:abstractNumId w:val="10"/>
  </w:num>
  <w:num w:numId="14" w16cid:durableId="1023938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156"/>
    <w:rsid w:val="005629E8"/>
    <w:rsid w:val="006C2156"/>
    <w:rsid w:val="008A1C44"/>
    <w:rsid w:val="00AA6C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B47E"/>
  <w15:chartTrackingRefBased/>
  <w15:docId w15:val="{28315FCA-8EE5-4197-9D64-33B7DE7E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5629E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5629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E8"/>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5629E8"/>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5629E8"/>
  </w:style>
  <w:style w:type="character" w:customStyle="1" w:styleId="xp-tag-xp">
    <w:name w:val="xp-tag-xp"/>
    <w:basedOn w:val="DefaultParagraphFont"/>
    <w:rsid w:val="005629E8"/>
  </w:style>
  <w:style w:type="paragraph" w:styleId="NormalWeb">
    <w:name w:val="Normal (Web)"/>
    <w:basedOn w:val="Normal"/>
    <w:uiPriority w:val="99"/>
    <w:semiHidden/>
    <w:unhideWhenUsed/>
    <w:rsid w:val="005629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semiHidden/>
    <w:unhideWhenUsed/>
    <w:rsid w:val="005629E8"/>
    <w:rPr>
      <w:color w:val="0000FF"/>
      <w:u w:val="single"/>
    </w:rPr>
  </w:style>
  <w:style w:type="character" w:styleId="Emphasis">
    <w:name w:val="Emphasis"/>
    <w:basedOn w:val="DefaultParagraphFont"/>
    <w:uiPriority w:val="20"/>
    <w:qFormat/>
    <w:rsid w:val="005629E8"/>
    <w:rPr>
      <w:i/>
      <w:iCs/>
    </w:rPr>
  </w:style>
  <w:style w:type="paragraph" w:customStyle="1" w:styleId="alert-title">
    <w:name w:val="alert-title"/>
    <w:basedOn w:val="Normal"/>
    <w:rsid w:val="005629E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629E8"/>
    <w:rPr>
      <w:b/>
      <w:bCs/>
    </w:rPr>
  </w:style>
  <w:style w:type="character" w:customStyle="1" w:styleId="Heading3Char">
    <w:name w:val="Heading 3 Char"/>
    <w:basedOn w:val="DefaultParagraphFont"/>
    <w:link w:val="Heading3"/>
    <w:uiPriority w:val="9"/>
    <w:semiHidden/>
    <w:rsid w:val="005629E8"/>
    <w:rPr>
      <w:rFonts w:asciiTheme="majorHAnsi" w:eastAsiaTheme="majorEastAsia" w:hAnsiTheme="majorHAnsi" w:cstheme="majorBidi"/>
      <w:color w:val="1F3763" w:themeColor="accent1" w:themeShade="7F"/>
      <w:sz w:val="24"/>
      <w:szCs w:val="24"/>
    </w:rPr>
  </w:style>
  <w:style w:type="character" w:customStyle="1" w:styleId="mjx-char">
    <w:name w:val="mjx-char"/>
    <w:basedOn w:val="DefaultParagraphFont"/>
    <w:rsid w:val="005629E8"/>
  </w:style>
  <w:style w:type="character" w:customStyle="1" w:styleId="mjxassistivemathml">
    <w:name w:val="mjx_assistive_mathml"/>
    <w:basedOn w:val="DefaultParagraphFont"/>
    <w:rsid w:val="00562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34367">
      <w:bodyDiv w:val="1"/>
      <w:marLeft w:val="0"/>
      <w:marRight w:val="0"/>
      <w:marTop w:val="0"/>
      <w:marBottom w:val="0"/>
      <w:divBdr>
        <w:top w:val="none" w:sz="0" w:space="0" w:color="auto"/>
        <w:left w:val="none" w:sz="0" w:space="0" w:color="auto"/>
        <w:bottom w:val="none" w:sz="0" w:space="0" w:color="auto"/>
        <w:right w:val="none" w:sz="0" w:space="0" w:color="auto"/>
      </w:divBdr>
      <w:divsChild>
        <w:div w:id="2125030175">
          <w:marLeft w:val="0"/>
          <w:marRight w:val="0"/>
          <w:marTop w:val="0"/>
          <w:marBottom w:val="0"/>
          <w:divBdr>
            <w:top w:val="none" w:sz="0" w:space="0" w:color="auto"/>
            <w:left w:val="none" w:sz="0" w:space="0" w:color="auto"/>
            <w:bottom w:val="none" w:sz="0" w:space="0" w:color="auto"/>
            <w:right w:val="none" w:sz="0" w:space="0" w:color="auto"/>
          </w:divBdr>
          <w:divsChild>
            <w:div w:id="739982130">
              <w:marLeft w:val="0"/>
              <w:marRight w:val="0"/>
              <w:marTop w:val="0"/>
              <w:marBottom w:val="0"/>
              <w:divBdr>
                <w:top w:val="none" w:sz="0" w:space="0" w:color="auto"/>
                <w:left w:val="none" w:sz="0" w:space="0" w:color="auto"/>
                <w:bottom w:val="none" w:sz="0" w:space="0" w:color="auto"/>
                <w:right w:val="none" w:sz="0" w:space="0" w:color="auto"/>
              </w:divBdr>
            </w:div>
          </w:divsChild>
        </w:div>
        <w:div w:id="2024701739">
          <w:marLeft w:val="0"/>
          <w:marRight w:val="0"/>
          <w:marTop w:val="0"/>
          <w:marBottom w:val="0"/>
          <w:divBdr>
            <w:top w:val="none" w:sz="0" w:space="0" w:color="auto"/>
            <w:left w:val="none" w:sz="0" w:space="0" w:color="auto"/>
            <w:bottom w:val="none" w:sz="0" w:space="0" w:color="auto"/>
            <w:right w:val="none" w:sz="0" w:space="0" w:color="auto"/>
          </w:divBdr>
        </w:div>
        <w:div w:id="1387148091">
          <w:marLeft w:val="0"/>
          <w:marRight w:val="0"/>
          <w:marTop w:val="0"/>
          <w:marBottom w:val="0"/>
          <w:divBdr>
            <w:top w:val="none" w:sz="0" w:space="0" w:color="auto"/>
            <w:left w:val="none" w:sz="0" w:space="0" w:color="auto"/>
            <w:bottom w:val="none" w:sz="0" w:space="0" w:color="auto"/>
            <w:right w:val="none" w:sz="0" w:space="0" w:color="auto"/>
          </w:divBdr>
        </w:div>
        <w:div w:id="1581283969">
          <w:marLeft w:val="0"/>
          <w:marRight w:val="0"/>
          <w:marTop w:val="0"/>
          <w:marBottom w:val="0"/>
          <w:divBdr>
            <w:top w:val="none" w:sz="0" w:space="0" w:color="auto"/>
            <w:left w:val="none" w:sz="0" w:space="0" w:color="auto"/>
            <w:bottom w:val="none" w:sz="0" w:space="0" w:color="auto"/>
            <w:right w:val="none" w:sz="0" w:space="0" w:color="auto"/>
          </w:divBdr>
        </w:div>
      </w:divsChild>
    </w:div>
    <w:div w:id="768624171">
      <w:bodyDiv w:val="1"/>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sChild>
            <w:div w:id="2127001774">
              <w:marLeft w:val="0"/>
              <w:marRight w:val="0"/>
              <w:marTop w:val="0"/>
              <w:marBottom w:val="0"/>
              <w:divBdr>
                <w:top w:val="none" w:sz="0" w:space="0" w:color="auto"/>
                <w:left w:val="none" w:sz="0" w:space="0" w:color="auto"/>
                <w:bottom w:val="none" w:sz="0" w:space="0" w:color="auto"/>
                <w:right w:val="none" w:sz="0" w:space="0" w:color="auto"/>
              </w:divBdr>
            </w:div>
          </w:divsChild>
        </w:div>
        <w:div w:id="1156265041">
          <w:marLeft w:val="0"/>
          <w:marRight w:val="0"/>
          <w:marTop w:val="0"/>
          <w:marBottom w:val="0"/>
          <w:divBdr>
            <w:top w:val="none" w:sz="0" w:space="0" w:color="auto"/>
            <w:left w:val="none" w:sz="0" w:space="0" w:color="auto"/>
            <w:bottom w:val="none" w:sz="0" w:space="0" w:color="auto"/>
            <w:right w:val="none" w:sz="0" w:space="0" w:color="auto"/>
          </w:divBdr>
        </w:div>
      </w:divsChild>
    </w:div>
    <w:div w:id="1452633202">
      <w:bodyDiv w:val="1"/>
      <w:marLeft w:val="0"/>
      <w:marRight w:val="0"/>
      <w:marTop w:val="0"/>
      <w:marBottom w:val="0"/>
      <w:divBdr>
        <w:top w:val="none" w:sz="0" w:space="0" w:color="auto"/>
        <w:left w:val="none" w:sz="0" w:space="0" w:color="auto"/>
        <w:bottom w:val="none" w:sz="0" w:space="0" w:color="auto"/>
        <w:right w:val="none" w:sz="0" w:space="0" w:color="auto"/>
      </w:divBdr>
      <w:divsChild>
        <w:div w:id="1799835509">
          <w:marLeft w:val="0"/>
          <w:marRight w:val="0"/>
          <w:marTop w:val="0"/>
          <w:marBottom w:val="0"/>
          <w:divBdr>
            <w:top w:val="none" w:sz="0" w:space="0" w:color="auto"/>
            <w:left w:val="none" w:sz="0" w:space="0" w:color="auto"/>
            <w:bottom w:val="none" w:sz="0" w:space="0" w:color="auto"/>
            <w:right w:val="none" w:sz="0" w:space="0" w:color="auto"/>
          </w:divBdr>
          <w:divsChild>
            <w:div w:id="19270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492">
      <w:bodyDiv w:val="1"/>
      <w:marLeft w:val="0"/>
      <w:marRight w:val="0"/>
      <w:marTop w:val="0"/>
      <w:marBottom w:val="0"/>
      <w:divBdr>
        <w:top w:val="none" w:sz="0" w:space="0" w:color="auto"/>
        <w:left w:val="none" w:sz="0" w:space="0" w:color="auto"/>
        <w:bottom w:val="none" w:sz="0" w:space="0" w:color="auto"/>
        <w:right w:val="none" w:sz="0" w:space="0" w:color="auto"/>
      </w:divBdr>
      <w:divsChild>
        <w:div w:id="1053640">
          <w:marLeft w:val="0"/>
          <w:marRight w:val="0"/>
          <w:marTop w:val="0"/>
          <w:marBottom w:val="0"/>
          <w:divBdr>
            <w:top w:val="none" w:sz="0" w:space="0" w:color="auto"/>
            <w:left w:val="none" w:sz="0" w:space="0" w:color="auto"/>
            <w:bottom w:val="none" w:sz="0" w:space="0" w:color="auto"/>
            <w:right w:val="none" w:sz="0" w:space="0" w:color="auto"/>
          </w:divBdr>
          <w:divsChild>
            <w:div w:id="247815511">
              <w:marLeft w:val="0"/>
              <w:marRight w:val="0"/>
              <w:marTop w:val="0"/>
              <w:marBottom w:val="0"/>
              <w:divBdr>
                <w:top w:val="none" w:sz="0" w:space="0" w:color="auto"/>
                <w:left w:val="none" w:sz="0" w:space="0" w:color="auto"/>
                <w:bottom w:val="none" w:sz="0" w:space="0" w:color="auto"/>
                <w:right w:val="none" w:sz="0" w:space="0" w:color="auto"/>
              </w:divBdr>
            </w:div>
          </w:divsChild>
        </w:div>
        <w:div w:id="1469324531">
          <w:marLeft w:val="0"/>
          <w:marRight w:val="0"/>
          <w:marTop w:val="0"/>
          <w:marBottom w:val="0"/>
          <w:divBdr>
            <w:top w:val="none" w:sz="0" w:space="0" w:color="auto"/>
            <w:left w:val="none" w:sz="0" w:space="0" w:color="auto"/>
            <w:bottom w:val="none" w:sz="0" w:space="0" w:color="auto"/>
            <w:right w:val="none" w:sz="0" w:space="0" w:color="auto"/>
          </w:divBdr>
        </w:div>
      </w:divsChild>
    </w:div>
    <w:div w:id="2122991292">
      <w:bodyDiv w:val="1"/>
      <w:marLeft w:val="0"/>
      <w:marRight w:val="0"/>
      <w:marTop w:val="0"/>
      <w:marBottom w:val="0"/>
      <w:divBdr>
        <w:top w:val="none" w:sz="0" w:space="0" w:color="auto"/>
        <w:left w:val="none" w:sz="0" w:space="0" w:color="auto"/>
        <w:bottom w:val="none" w:sz="0" w:space="0" w:color="auto"/>
        <w:right w:val="none" w:sz="0" w:space="0" w:color="auto"/>
      </w:divBdr>
      <w:divsChild>
        <w:div w:id="1219512101">
          <w:marLeft w:val="0"/>
          <w:marRight w:val="0"/>
          <w:marTop w:val="0"/>
          <w:marBottom w:val="0"/>
          <w:divBdr>
            <w:top w:val="none" w:sz="0" w:space="0" w:color="auto"/>
            <w:left w:val="none" w:sz="0" w:space="0" w:color="auto"/>
            <w:bottom w:val="none" w:sz="0" w:space="0" w:color="auto"/>
            <w:right w:val="none" w:sz="0" w:space="0" w:color="auto"/>
          </w:divBdr>
          <w:divsChild>
            <w:div w:id="15962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upport/legal/sla/" TargetMode="External"/><Relationship Id="rId13" Type="http://schemas.openxmlformats.org/officeDocument/2006/relationships/hyperlink" Target="https://azure.microsoft.com/support/legal/sla/virtual-machines" TargetMode="External"/><Relationship Id="rId18" Type="http://schemas.openxmlformats.org/officeDocument/2006/relationships/hyperlink" Target="https://feedback.azure.com/d365community"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zure.microsoft.com/support/legal/sla/" TargetMode="External"/><Relationship Id="rId12" Type="http://schemas.openxmlformats.org/officeDocument/2006/relationships/hyperlink" Target="https://azure.microsoft.com/support/legal/sl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preview.portal.azure.com/" TargetMode="External"/><Relationship Id="rId20" Type="http://schemas.openxmlformats.org/officeDocument/2006/relationships/hyperlink" Target="https://azure.microsoft.com/updat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tus.azure.com/status" TargetMode="External"/><Relationship Id="rId5" Type="http://schemas.openxmlformats.org/officeDocument/2006/relationships/hyperlink" Target="https://www.tailwindtraders.com/" TargetMode="External"/><Relationship Id="rId15" Type="http://schemas.openxmlformats.org/officeDocument/2006/relationships/hyperlink" Target="https://portal.azure.com/" TargetMode="External"/><Relationship Id="rId23" Type="http://schemas.openxmlformats.org/officeDocument/2006/relationships/theme" Target="theme/theme1.xml"/><Relationship Id="rId10" Type="http://schemas.openxmlformats.org/officeDocument/2006/relationships/hyperlink" Target="https://azure.microsoft.com/support/legal/sla/advisor/"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zure.microsoft.com/support/legal/preview-supplemental-term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19</Pages>
  <Words>4421</Words>
  <Characters>24316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2022-06-17T04:45:00Z</dcterms:created>
  <dcterms:modified xsi:type="dcterms:W3CDTF">2022-06-17T16:25:00Z</dcterms:modified>
</cp:coreProperties>
</file>