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SECURITY IMPACT REPORT</w:t>
      </w:r>
    </w:p>
    <w:p>
      <w:pPr>
        <w:spacing w:after="60"/>
      </w:pPr>
      <w:r>
        <w:rPr>
          <w:rFonts w:ascii="Calibri" w:hAnsi="Calibri"/>
          <w:b/>
          <w:i w:val="0"/>
          <w:color w:val="1F3A5F"/>
          <w:sz w:val="46"/>
        </w:rPr>
        <w:t>Authorization Controls for Sensitive Records</w:t>
      </w:r>
    </w:p>
    <w:p>
      <w:pPr>
        <w:spacing w:after="200"/>
      </w:pPr>
      <w:r>
        <w:rPr>
          <w:rFonts w:ascii="Calibri" w:hAnsi="Calibri"/>
          <w:b w:val="0"/>
          <w:i w:val="0"/>
          <w:color w:val="595959"/>
          <w:sz w:val="22"/>
        </w:rPr>
        <w:t>Affected endpoints: /auth/users/{id} and /fsm/emptying/{id}</w:t>
      </w:r>
    </w:p>
    <w:tbl>
      <w:tblPr>
        <w:tblStyle w:val="TableGrid"/>
        <w:tblW w:type="dxa" w:w="744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670"/>
        <w:gridCol w:w="1050"/>
        <w:gridCol w:w="267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Remediated in code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Severity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Medium</w:t>
            </w:r>
          </w:p>
        </w:tc>
        <w:trPr>
          <w:tblHeader/>
        </w:trPr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Date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31 August 2026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Control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Server-side RBAC + record scope</w:t>
            </w:r>
          </w:p>
        </w:tc>
      </w:tr>
    </w:tbl>
    <w:p>
      <w:pPr>
        <w:pStyle w:val="Heading1"/>
        <w:keepNext/>
      </w:pPr>
      <w:r>
        <w:t>Executive Summary</w:t>
      </w:r>
    </w:p>
    <w:p>
      <w:r>
        <w:rPr>
          <w:b/>
        </w:rPr>
        <w:t xml:space="preserve">Issue. </w:t>
      </w:r>
      <w:r>
        <w:t>Authenticated Guest or insufficiently privileged users could request sensitive records by changing a numeric URL identifier. Authentication existed at route level, but action-level permissions and record ownership checks were incomplete.</w:t>
      </w:r>
    </w:p>
    <w:p>
      <w:r>
        <w:rPr>
          <w:b/>
        </w:rPr>
        <w:t xml:space="preserve">Outcome. </w:t>
      </w:r>
      <w:r>
        <w:t>Direct access now requires both the correct permission and authorization for the requested record. Guest access to Emptying records is removed for new and existing deployments.</w:t>
      </w:r>
    </w:p>
    <w:p>
      <w:pPr>
        <w:pStyle w:val="Heading1"/>
        <w:keepNext/>
      </w:pPr>
      <w:r>
        <w:t>Business and Security Impact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Confidentiality: </w:t>
      </w:r>
      <w:r>
        <w:rPr>
          <w:rFonts w:ascii="Calibri" w:hAnsi="Calibri"/>
          <w:b w:val="0"/>
          <w:i w:val="0"/>
          <w:color w:val="000000"/>
          <w:sz w:val="22"/>
        </w:rPr>
        <w:t>Prevents exposure of names, usernames, email addresses, roles, account status, service records, contact details, and operational data.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Privacy: </w:t>
      </w:r>
      <w:r>
        <w:rPr>
          <w:rFonts w:ascii="Calibri" w:hAnsi="Calibri"/>
          <w:b w:val="0"/>
          <w:i w:val="0"/>
          <w:color w:val="000000"/>
          <w:sz w:val="22"/>
        </w:rPr>
        <w:t>Reduces unauthorized cross-user and cross-organisation disclosure and associated privacy/compliance risk.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Operational integrity: </w:t>
      </w:r>
      <w:r>
        <w:rPr>
          <w:rFonts w:ascii="Calibri" w:hAnsi="Calibri"/>
          <w:b w:val="0"/>
          <w:i w:val="0"/>
          <w:color w:val="000000"/>
          <w:sz w:val="22"/>
        </w:rPr>
        <w:t>Blocks direct URL enumeration while preserving access for authorized municipal administrators and relevant service organizations.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User experience: </w:t>
      </w:r>
      <w:r>
        <w:rPr>
          <w:rFonts w:ascii="Calibri" w:hAnsi="Calibri"/>
          <w:b w:val="0"/>
          <w:i w:val="0"/>
          <w:color w:val="000000"/>
          <w:sz w:val="22"/>
        </w:rPr>
        <w:t>Authorized workflows remain unchanged; unauthorized requests return HTTP 403, while missing records return HTTP 404.</w:t>
      </w:r>
    </w:p>
    <w:p>
      <w:pPr>
        <w:pStyle w:val="Heading1"/>
        <w:keepNext/>
      </w:pPr>
      <w:r>
        <w:t>Controls Implemented</w:t>
      </w:r>
    </w:p>
    <w:tbl>
      <w:tblPr>
        <w:tblStyle w:val="TableGrid"/>
        <w:tblW w:type="dxa" w:w="7440"/>
        <w:tblLayout w:type="fixed"/>
        <w:tblLook w:firstColumn="1" w:firstRow="1" w:lastColumn="0" w:lastRow="0" w:noHBand="0" w:noVBand="1" w:val="04A0"/>
        <w:tblInd w:w="120" w:type="dxa"/>
        <w:tblInd w:w="120" w:type="dxa"/>
      </w:tblPr>
      <w:tblGrid>
        <w:gridCol w:w="2100"/>
        <w:gridCol w:w="4020"/>
        <w:gridCol w:w="132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Control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Implementation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Result</w:t>
            </w:r>
          </w:p>
        </w:tc>
        <w:trPr>
          <w:tblHeader/>
        </w:trPr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Authentication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Sensitive web routes and controllers require an authenticated session.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Guest session alone is insufficient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Action permissions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View User and all Emptying actions are mapped to explicit permissions.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Direct URLs enforce RBAC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Record scope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Access is restricted by municipal authority, service provider, treatment plant, or creator ownership.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Cross-tenant IDOR blocked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Guest-role correction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Emptying permissions removed from the Guest seeder and existing role assignments.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Sensitive records unavailable to Guest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Deployment and Operational Impact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Database migration required: </w:t>
      </w:r>
      <w:r>
        <w:rPr>
          <w:rFonts w:ascii="Calibri" w:hAnsi="Calibri"/>
          <w:b w:val="0"/>
          <w:i w:val="0"/>
          <w:color w:val="000000"/>
          <w:sz w:val="22"/>
        </w:rPr>
        <w:t>Run the new migration to revoke Emptying permissions already assigned to the Guest role.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Permission cache reset required: </w:t>
      </w:r>
      <w:r>
        <w:rPr>
          <w:rFonts w:ascii="Calibri" w:hAnsi="Calibri"/>
          <w:b w:val="0"/>
          <w:i w:val="0"/>
          <w:color w:val="000000"/>
          <w:sz w:val="22"/>
        </w:rPr>
        <w:t>Clear the Spatie permission cache after deployment so revoked grants take effect immediately.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No schema or API contract change: </w:t>
      </w:r>
      <w:r>
        <w:rPr>
          <w:rFonts w:ascii="Calibri" w:hAnsi="Calibri"/>
          <w:b w:val="0"/>
          <w:i w:val="0"/>
          <w:color w:val="000000"/>
          <w:sz w:val="22"/>
        </w:rPr>
        <w:t>The remediation changes access decisions only; response structures and valid URLs remain unchanged.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Expected support impact: </w:t>
      </w:r>
      <w:r>
        <w:rPr>
          <w:rFonts w:ascii="Calibri" w:hAnsi="Calibri"/>
          <w:b w:val="0"/>
          <w:i w:val="0"/>
          <w:color w:val="000000"/>
          <w:sz w:val="22"/>
        </w:rPr>
        <w:t>Users who previously relied on unintended Guest access will receive 403 and must be assigned an approved role and permission.</w:t>
      </w:r>
    </w:p>
    <w:p>
      <w:pPr>
        <w:pStyle w:val="Heading2"/>
        <w:keepNext/>
      </w:pPr>
      <w:r>
        <w:t>Deployment Steps</w:t>
      </w:r>
    </w:p>
    <w:p>
      <w:pPr>
        <w:pStyle w:val="ListNumber"/>
        <w:spacing w:after="80"/>
      </w:pPr>
      <w:r>
        <w:t>Deploy the updated controllers, Guest role seeder, and security migration.</w:t>
      </w:r>
    </w:p>
    <w:p>
      <w:pPr>
        <w:pStyle w:val="ListNumber"/>
        <w:spacing w:after="80"/>
      </w:pPr>
      <w:r>
        <w:t>Run: php artisan migrate</w:t>
      </w:r>
    </w:p>
    <w:p>
      <w:pPr>
        <w:pStyle w:val="ListNumber"/>
        <w:spacing w:after="80"/>
      </w:pPr>
      <w:r>
        <w:t>Run: php artisan permission:cache-reset</w:t>
      </w:r>
    </w:p>
    <w:p>
      <w:pPr>
        <w:pStyle w:val="ListNumber"/>
        <w:spacing w:after="80"/>
      </w:pPr>
      <w:r>
        <w:t>Verify approved roles can access only records within their assigned scope.</w:t>
      </w:r>
    </w:p>
    <w:p>
      <w:pPr>
        <w:pStyle w:val="Heading1"/>
        <w:keepNext/>
      </w:pPr>
      <w:r>
        <w:t>Validation Summary</w:t>
      </w:r>
    </w:p>
    <w:tbl>
      <w:tblPr>
        <w:tblStyle w:val="TableGrid"/>
        <w:tblW w:type="dxa" w:w="8400"/>
        <w:tblLayout w:type="fixed"/>
        <w:tblLook w:firstColumn="1" w:firstRow="1" w:lastColumn="0" w:lastRow="0" w:noHBand="0" w:noVBand="1" w:val="04A0"/>
        <w:tblInd w:w="120" w:type="dxa"/>
        <w:tblInd w:w="120" w:type="dxa"/>
      </w:tblPr>
      <w:tblGrid>
        <w:gridCol w:w="3540"/>
        <w:gridCol w:w="1620"/>
        <w:gridCol w:w="3240"/>
      </w:tblGrid>
      <w:tr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Check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Result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Evidence / Expected Behavior</w:t>
            </w:r>
          </w:p>
        </w:tc>
        <w:trPr>
          <w:tblHeader/>
        </w:trPr>
      </w:tr>
      <w:tr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PHP syntax validation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Passed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All modified PHP files report no syntax errors.</w:t>
            </w:r>
          </w:p>
        </w:tc>
      </w:tr>
      <w:tr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Automated test suite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Passed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 existing tests passed.</w:t>
            </w:r>
          </w:p>
        </w:tc>
      </w:tr>
      <w:tr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Unauthenticated request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Protected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Redirected to login by auth middleware.</w:t>
            </w:r>
          </w:p>
        </w:tc>
      </w:tr>
      <w:tr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Guest / missing permission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Protected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403 before record content is rendered.</w:t>
            </w:r>
          </w:p>
        </w:tc>
      </w:tr>
      <w:tr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Out-of-scope numeric ID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Protected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403 after record-scope evaluation.</w:t>
            </w:r>
          </w:p>
        </w:tc>
      </w:tr>
    </w:tbl>
    <w:p>
      <w:pPr>
        <w:pStyle w:val="Heading1"/>
        <w:keepNext/>
      </w:pPr>
      <w:r>
        <w:t>Residual Risk and Follow-up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Broader endpoint review: </w:t>
      </w:r>
      <w:r>
        <w:rPr>
          <w:rFonts w:ascii="Calibri" w:hAnsi="Calibri"/>
          <w:b w:val="0"/>
          <w:i w:val="0"/>
          <w:color w:val="000000"/>
          <w:sz w:val="22"/>
        </w:rPr>
        <w:t>Apply the same permission-plus-record-scope pattern to other controllers that expose numeric record identifiers.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Regression coverage: </w:t>
      </w:r>
      <w:r>
        <w:rPr>
          <w:rFonts w:ascii="Calibri" w:hAnsi="Calibri"/>
          <w:b w:val="0"/>
          <w:i w:val="0"/>
          <w:color w:val="000000"/>
          <w:sz w:val="22"/>
        </w:rPr>
        <w:t>Add feature tests for unauthenticated, Guest, authorized same-scope, and unauthorized cross-scope requests when database fixtures are available.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Logging: </w:t>
      </w:r>
      <w:r>
        <w:rPr>
          <w:rFonts w:ascii="Calibri" w:hAnsi="Calibri"/>
          <w:b w:val="0"/>
          <w:i w:val="0"/>
          <w:color w:val="000000"/>
          <w:sz w:val="22"/>
        </w:rPr>
        <w:t>Monitor repeated 403 responses and sequential-ID requests as potential enumeration attempts.</w:t>
      </w:r>
    </w:p>
    <w:p>
      <w:pPr>
        <w:spacing w:before="160" w:after="0"/>
      </w:pPr>
      <w:r>
        <w:rPr>
          <w:rFonts w:ascii="Calibri" w:hAnsi="Calibri"/>
          <w:b/>
          <w:i w:val="0"/>
          <w:color w:val="1F3A5F"/>
          <w:sz w:val="21"/>
        </w:rPr>
        <w:t xml:space="preserve">Conclusion: </w:t>
      </w:r>
      <w:r>
        <w:rPr>
          <w:rFonts w:ascii="Calibri" w:hAnsi="Calibri"/>
          <w:b w:val="0"/>
          <w:i w:val="0"/>
          <w:color w:val="000000"/>
          <w:sz w:val="21"/>
        </w:rPr>
        <w:t>The reported authorization weakness is addressed for the identified endpoints. Production effectiveness depends on running the migration and clearing the permission cache during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5959"/>
        <w:sz w:val="16"/>
      </w:rPr>
      <w:t>Internal Security Impact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95959"/>
        <w:sz w:val="17"/>
      </w:rPr>
      <w:t>SECURITY REMEDIATION | AUTHORIZATION CONTROLS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Authorization Control Impact Report</dc:title>
  <dc:subject>IDOR and access-control remediation impact</dc:subject>
  <dc:creator>Security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