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Public ID URL Binding QA Test Guide</w:t>
      </w:r>
    </w:p>
    <w:p>
      <w:pPr>
        <w:spacing w:after="280"/>
      </w:pPr>
      <w:r>
        <w:rPr>
          <w:b/>
          <w:sz w:val="26"/>
        </w:rPr>
        <w:t>Buildings and Containments</w:t>
      </w:r>
    </w:p>
    <w:p>
      <w:r>
        <w:rPr>
          <w:b/>
        </w:rPr>
        <w:t xml:space="preserve">Purpose. </w:t>
      </w:r>
      <w:r>
        <w:t>This guide helps a junior QA engineer understand and test the public ID URL binding feature. The feature hides internal Building BIN and Containment ID values from normal application URLs. It does not remove those identifiers from the database or from business information displayed on a page.</w:t>
      </w:r>
    </w:p>
    <w:p>
      <w:r>
        <w:rPr>
          <w:b/>
        </w:rPr>
        <w:t xml:space="preserve">Audience. </w:t>
      </w:r>
      <w:r>
        <w:t>QA engineers with about one year of testing experience who can use the application, browser address bar, developer tools, and basic SQL.</w:t>
      </w:r>
    </w:p>
    <w:p>
      <w:pPr>
        <w:pStyle w:val="Heading1"/>
      </w:pPr>
      <w:r>
        <w:t>What the feature does</w:t>
      </w:r>
    </w:p>
    <w:p>
      <w:r>
        <w:t>A new UUID field named public_id identifies a Building or Containment in a browser URL. Laravel receives the UUID, finds the matching record, and then continues using the existing BIN or Containment ID internally.</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1F4E78"/>
            <w:tcMar>
              <w:top w:w="100" w:type="dxa"/>
              <w:start w:w="120" w:type="dxa"/>
              <w:bottom w:w="100" w:type="dxa"/>
              <w:end w:w="120" w:type="dxa"/>
            </w:tcMar>
          </w:tcPr>
          <w:p>
            <w:r>
              <w:rPr>
                <w:b/>
                <w:color w:val="FFFFFF"/>
              </w:rPr>
              <w:t>Item</w:t>
            </w:r>
          </w:p>
        </w:tc>
        <w:tc>
          <w:tcPr>
            <w:tcW w:type="dxa" w:w="3816"/>
            <w:shd w:fill="1F4E78"/>
            <w:tcMar>
              <w:top w:w="100" w:type="dxa"/>
              <w:start w:w="120" w:type="dxa"/>
              <w:bottom w:w="100" w:type="dxa"/>
              <w:end w:w="120" w:type="dxa"/>
            </w:tcMar>
          </w:tcPr>
          <w:p>
            <w:r>
              <w:rPr>
                <w:b/>
                <w:color w:val="FFFFFF"/>
              </w:rPr>
              <w:t>Before</w:t>
            </w:r>
          </w:p>
        </w:tc>
        <w:tc>
          <w:tcPr>
            <w:tcW w:type="dxa" w:w="3816"/>
            <w:shd w:fill="1F4E78"/>
            <w:tcMar>
              <w:top w:w="100" w:type="dxa"/>
              <w:start w:w="120" w:type="dxa"/>
              <w:bottom w:w="100" w:type="dxa"/>
              <w:end w:w="120" w:type="dxa"/>
            </w:tcMar>
          </w:tcPr>
          <w:p>
            <w:r>
              <w:rPr>
                <w:b/>
                <w:color w:val="FFFFFF"/>
              </w:rPr>
              <w:t>After</w:t>
            </w:r>
          </w:p>
        </w:tc>
      </w:tr>
      <w:tr>
        <w:tc>
          <w:tcPr>
            <w:tcW w:type="dxa" w:w="2448"/>
            <w:vAlign w:val="center"/>
            <w:tcMar>
              <w:top w:w="100" w:type="dxa"/>
              <w:start w:w="120" w:type="dxa"/>
              <w:bottom w:w="100" w:type="dxa"/>
              <w:end w:w="120" w:type="dxa"/>
            </w:tcMar>
          </w:tcPr>
          <w:p>
            <w:r>
              <w:t>Building edit</w:t>
            </w:r>
          </w:p>
        </w:tc>
        <w:tc>
          <w:tcPr>
            <w:tcW w:type="dxa" w:w="3816"/>
            <w:vAlign w:val="center"/>
            <w:tcMar>
              <w:top w:w="100" w:type="dxa"/>
              <w:start w:w="120" w:type="dxa"/>
              <w:bottom w:w="100" w:type="dxa"/>
              <w:end w:w="120" w:type="dxa"/>
            </w:tcMar>
          </w:tcPr>
          <w:p>
            <w:r>
              <w:t>/buildings/B016740/edit</w:t>
            </w:r>
          </w:p>
        </w:tc>
        <w:tc>
          <w:tcPr>
            <w:tcW w:type="dxa" w:w="3816"/>
            <w:vAlign w:val="center"/>
            <w:tcMar>
              <w:top w:w="100" w:type="dxa"/>
              <w:start w:w="120" w:type="dxa"/>
              <w:bottom w:w="100" w:type="dxa"/>
              <w:end w:w="120" w:type="dxa"/>
            </w:tcMar>
          </w:tcPr>
          <w:p>
            <w:r>
              <w:t>/buildings/4ee95bc0-.../edit</w:t>
            </w:r>
          </w:p>
        </w:tc>
      </w:tr>
      <w:tr>
        <w:tc>
          <w:tcPr>
            <w:tcW w:type="dxa" w:w="2448"/>
            <w:shd w:fill="F4F8FB"/>
            <w:vAlign w:val="center"/>
            <w:tcMar>
              <w:top w:w="100" w:type="dxa"/>
              <w:start w:w="120" w:type="dxa"/>
              <w:bottom w:w="100" w:type="dxa"/>
              <w:end w:w="120" w:type="dxa"/>
            </w:tcMar>
          </w:tcPr>
          <w:p>
            <w:r>
              <w:t>Containment edit</w:t>
            </w:r>
          </w:p>
        </w:tc>
        <w:tc>
          <w:tcPr>
            <w:tcW w:type="dxa" w:w="3816"/>
            <w:shd w:fill="F4F8FB"/>
            <w:vAlign w:val="center"/>
            <w:tcMar>
              <w:top w:w="100" w:type="dxa"/>
              <w:start w:w="120" w:type="dxa"/>
              <w:bottom w:w="100" w:type="dxa"/>
              <w:end w:w="120" w:type="dxa"/>
            </w:tcMar>
          </w:tcPr>
          <w:p>
            <w:r>
              <w:t>/containments/C011752/edit</w:t>
            </w:r>
          </w:p>
        </w:tc>
        <w:tc>
          <w:tcPr>
            <w:tcW w:type="dxa" w:w="3816"/>
            <w:shd w:fill="F4F8FB"/>
            <w:vAlign w:val="center"/>
            <w:tcMar>
              <w:top w:w="100" w:type="dxa"/>
              <w:start w:w="120" w:type="dxa"/>
              <w:bottom w:w="100" w:type="dxa"/>
              <w:end w:w="120" w:type="dxa"/>
            </w:tcMar>
          </w:tcPr>
          <w:p>
            <w:r>
              <w:t>/containments/4294ec61-.../edit</w:t>
            </w:r>
          </w:p>
        </w:tc>
      </w:tr>
      <w:tr>
        <w:tc>
          <w:tcPr>
            <w:tcW w:type="dxa" w:w="2448"/>
            <w:vAlign w:val="center"/>
            <w:tcMar>
              <w:top w:w="100" w:type="dxa"/>
              <w:start w:w="120" w:type="dxa"/>
              <w:bottom w:w="100" w:type="dxa"/>
              <w:end w:w="120" w:type="dxa"/>
            </w:tcMar>
          </w:tcPr>
          <w:p>
            <w:r>
              <w:t>Containment map</w:t>
            </w:r>
          </w:p>
        </w:tc>
        <w:tc>
          <w:tcPr>
            <w:tcW w:type="dxa" w:w="3816"/>
            <w:vAlign w:val="center"/>
            <w:tcMar>
              <w:top w:w="100" w:type="dxa"/>
              <w:start w:w="120" w:type="dxa"/>
              <w:bottom w:w="100" w:type="dxa"/>
              <w:end w:w="120" w:type="dxa"/>
            </w:tcMar>
          </w:tcPr>
          <w:p>
            <w:r>
              <w:t>field=id and val=C011752</w:t>
            </w:r>
          </w:p>
        </w:tc>
        <w:tc>
          <w:tcPr>
            <w:tcW w:type="dxa" w:w="3816"/>
            <w:vAlign w:val="center"/>
            <w:tcMar>
              <w:top w:w="100" w:type="dxa"/>
              <w:start w:w="120" w:type="dxa"/>
              <w:bottom w:w="100" w:type="dxa"/>
              <w:end w:w="120" w:type="dxa"/>
            </w:tcMar>
          </w:tcPr>
          <w:p>
            <w:r>
              <w:t>field=public_id and val=4294ec61-...</w:t>
            </w:r>
          </w:p>
        </w:tc>
      </w:tr>
    </w:tbl>
    <w:p>
      <w:pPr>
        <w:pStyle w:val="Heading1"/>
      </w:pPr>
      <w:r>
        <w:t>Important terms</w:t>
      </w:r>
    </w:p>
    <w:p>
      <w:r>
        <w:rPr>
          <w:b/>
        </w:rPr>
        <w:t xml:space="preserve">BIN: </w:t>
      </w:r>
      <w:r>
        <w:t>Internal Building identifier, such as B016740. It remains in the database and may still be displayed as business information.</w:t>
      </w:r>
    </w:p>
    <w:p>
      <w:r>
        <w:rPr>
          <w:b/>
        </w:rPr>
        <w:t xml:space="preserve">Containment ID: </w:t>
      </w:r>
      <w:r>
        <w:t>Internal containment identifier, such as C011752. It remains in database relationships and reports.</w:t>
      </w:r>
    </w:p>
    <w:p>
      <w:r>
        <w:rPr>
          <w:b/>
        </w:rPr>
        <w:t xml:space="preserve">public_id: </w:t>
      </w:r>
      <w:r>
        <w:t>A UUID used in normal browser URLs, such as 4294ec61-76b0-4f38-92ca-4ada119dcbf6.</w:t>
      </w:r>
    </w:p>
    <w:p>
      <w:r>
        <w:rPr>
          <w:b/>
        </w:rPr>
        <w:t xml:space="preserve">URL binding: </w:t>
      </w:r>
      <w:r>
        <w:t>Laravel uses the public_id from the URL to load the correct Building or Containment record.</w:t>
      </w:r>
    </w:p>
    <w:p>
      <w:r>
        <w:rPr>
          <w:b/>
        </w:rPr>
        <w:t xml:space="preserve">404: </w:t>
      </w:r>
      <w:r>
        <w:t>The expected Not Found response when the UUID is invalid, malformed, or does not match a record.</w:t>
      </w:r>
    </w:p>
    <w:p>
      <w:pPr>
        <w:pStyle w:val="Heading1"/>
      </w:pPr>
      <w:r>
        <w:t>What QA should verify</w:t>
      </w:r>
    </w:p>
    <w:p>
      <w:pPr>
        <w:pStyle w:val="ListBullet"/>
      </w:pPr>
      <w:r>
        <w:t>Existing records have populated, valid, unique UUIDs.</w:t>
      </w:r>
    </w:p>
    <w:p>
      <w:pPr>
        <w:pStyle w:val="ListBullet"/>
      </w:pPr>
      <w:r>
        <w:t>New records receive UUIDs automatically.</w:t>
      </w:r>
    </w:p>
    <w:p>
      <w:pPr>
        <w:pStyle w:val="ListBullet"/>
      </w:pPr>
      <w:r>
        <w:t>Building URLs contain public_id and do not contain BIN.</w:t>
      </w:r>
    </w:p>
    <w:p>
      <w:pPr>
        <w:pStyle w:val="ListBullet"/>
      </w:pPr>
      <w:r>
        <w:t>Containment URLs contain public_id and do not contain the internal Containment ID.</w:t>
      </w:r>
    </w:p>
    <w:p>
      <w:pPr>
        <w:pStyle w:val="ListBullet"/>
      </w:pPr>
      <w:r>
        <w:t>A valid UUID opens the correct record.</w:t>
      </w:r>
    </w:p>
    <w:p>
      <w:pPr>
        <w:pStyle w:val="ListBullet"/>
      </w:pPr>
      <w:r>
        <w:t>An invalid UUID or an old internal identifier does not open the record.</w:t>
      </w:r>
    </w:p>
    <w:p>
      <w:pPr>
        <w:pStyle w:val="ListBullet"/>
      </w:pPr>
      <w:r>
        <w:t>Permissions still apply. Knowing a UUID must not grant unauthorized access.</w:t>
      </w:r>
    </w:p>
    <w:p>
      <w:r>
        <w:rPr>
          <w:i/>
        </w:rPr>
        <w:t>Scope note: BIN and Containment ID may still appear inside page content, exports, reports, or search fields when they are required business identifiers. This test focuses on identifiers used in application URLs.</w:t>
      </w:r>
    </w:p>
    <w:p>
      <w:r>
        <w:br w:type="page"/>
      </w:r>
    </w:p>
    <w:p>
      <w:pPr>
        <w:pStyle w:val="Heading1"/>
      </w:pPr>
      <w:r>
        <w:t>Test preparation</w:t>
      </w:r>
    </w:p>
    <w:p>
      <w:r>
        <w:t>Prepare the following before executing the test cases:</w:t>
      </w:r>
    </w:p>
    <w:p>
      <w:pPr>
        <w:pStyle w:val="ListBullet"/>
      </w:pPr>
      <w:r>
        <w:t>A QA environment with the public_id migration applied.</w:t>
      </w:r>
    </w:p>
    <w:p>
      <w:pPr>
        <w:pStyle w:val="ListBullet"/>
      </w:pPr>
      <w:r>
        <w:t>A user who can view and edit Buildings and Containments.</w:t>
      </w:r>
    </w:p>
    <w:p>
      <w:pPr>
        <w:pStyle w:val="ListBullet"/>
      </w:pPr>
      <w:r>
        <w:t>At least two Building records and two Containment records.</w:t>
      </w:r>
    </w:p>
    <w:p>
      <w:pPr>
        <w:pStyle w:val="ListBullet"/>
      </w:pPr>
      <w:r>
        <w:t>Access to the browser address bar and, when available, PostgreSQL read-only access.</w:t>
      </w:r>
    </w:p>
    <w:p>
      <w:pPr>
        <w:pStyle w:val="ListBullet"/>
      </w:pPr>
      <w:r>
        <w:t>The application base URL, for example http://127.0.0.1:8001.</w:t>
      </w:r>
    </w:p>
    <w:p>
      <w:pPr>
        <w:pStyle w:val="Heading1"/>
      </w:pPr>
      <w:r>
        <w:t>How to recognize a UUID</w:t>
      </w:r>
    </w:p>
    <w:p>
      <w:r>
        <w:t>A UUID normally has 36 characters, including four hyphens, in this shape:</w:t>
      </w:r>
    </w:p>
    <w:p>
      <w:pPr>
        <w:spacing w:before="60" w:after="120"/>
        <w:ind w:left="432" w:right="432"/>
      </w:pPr>
      <w:r>
        <w:rPr>
          <w:rFonts w:ascii="Consolas" w:hAnsi="Consolas"/>
          <w:sz w:val="18"/>
        </w:rPr>
        <w:t>xxxxxxxx-xxxx-xxxx-xxxx-xxxxxxxxxxxx</w:t>
      </w:r>
    </w:p>
    <w:p>
      <w:r>
        <w:t>Example:</w:t>
      </w:r>
    </w:p>
    <w:p>
      <w:pPr>
        <w:spacing w:before="60" w:after="120"/>
        <w:ind w:left="432" w:right="432"/>
      </w:pPr>
      <w:r>
        <w:rPr>
          <w:rFonts w:ascii="Consolas" w:hAnsi="Consolas"/>
          <w:sz w:val="18"/>
        </w:rPr>
        <w:t>4294ec61-76b0-4f38-92ca-4ada119dcbf6</w:t>
      </w:r>
    </w:p>
    <w:p>
      <w:r>
        <w:t>Do not accept a short sequential value such as B016740, C011752, 25, or 126 as a public ID.</w:t>
      </w:r>
    </w:p>
    <w:p>
      <w:pPr>
        <w:pStyle w:val="Heading1"/>
      </w:pPr>
      <w:r>
        <w:t>Manual test cases</w:t>
      </w:r>
    </w:p>
    <w:p>
      <w:pPr>
        <w:pStyle w:val="Heading2"/>
        <w:keepNext/>
      </w:pPr>
      <w:r>
        <w:t>TC 01  Building public IDs are populated unique UUIDs</w:t>
      </w:r>
    </w:p>
    <w:tbl>
      <w:tblPr>
        <w:tblW w:type="auto" w:w="0"/>
        <w:jc w:val="center"/>
        <w:tblLayout w:type="fixed"/>
        <w:tblLook w:firstColumn="1" w:firstRow="1" w:lastColumn="0" w:lastRow="0" w:noHBand="0" w:noVBand="1" w:val="04A0"/>
      </w:tblPr>
      <w:tblGrid>
        <w:gridCol w:w="1944"/>
        <w:gridCol w:w="8136"/>
      </w:tblGrid>
      <w:tr>
        <w:tc>
          <w:tcPr>
            <w:tcW w:type="dxa" w:w="1944"/>
            <w:vAlign w:val="center"/>
            <w:shd w:fill="D9EAF7"/>
            <w:tcMar>
              <w:top w:w="100" w:type="dxa"/>
              <w:start w:w="120" w:type="dxa"/>
              <w:bottom w:w="100" w:type="dxa"/>
              <w:end w:w="120" w:type="dxa"/>
            </w:tcMar>
          </w:tcPr>
          <w:p>
            <w:r>
              <w:rPr>
                <w:b/>
              </w:rPr>
              <w:t>Objective</w:t>
            </w:r>
          </w:p>
        </w:tc>
        <w:tc>
          <w:tcPr>
            <w:tcW w:type="dxa" w:w="8136"/>
            <w:vAlign w:val="center"/>
            <w:tcMar>
              <w:top w:w="100" w:type="dxa"/>
              <w:start w:w="120" w:type="dxa"/>
              <w:bottom w:w="100" w:type="dxa"/>
              <w:end w:w="120" w:type="dxa"/>
            </w:tcMar>
          </w:tcPr>
          <w:p>
            <w:pPr>
              <w:spacing w:after="0"/>
            </w:pPr>
            <w:r>
              <w:t>Confirm existing Buildings have valid and non-duplicated public IDs.</w:t>
            </w:r>
          </w:p>
        </w:tc>
      </w:tr>
      <w:tr>
        <w:tc>
          <w:tcPr>
            <w:tcW w:type="dxa" w:w="1944"/>
            <w:vAlign w:val="center"/>
            <w:shd w:fill="D9EAF7"/>
            <w:tcMar>
              <w:top w:w="100" w:type="dxa"/>
              <w:start w:w="120" w:type="dxa"/>
              <w:bottom w:w="100" w:type="dxa"/>
              <w:end w:w="120" w:type="dxa"/>
            </w:tcMar>
          </w:tcPr>
          <w:p>
            <w:r>
              <w:rPr>
                <w:b/>
              </w:rPr>
              <w:t>Preconditions</w:t>
            </w:r>
          </w:p>
        </w:tc>
        <w:tc>
          <w:tcPr>
            <w:tcW w:type="dxa" w:w="8136"/>
            <w:vAlign w:val="center"/>
            <w:tcMar>
              <w:top w:w="100" w:type="dxa"/>
              <w:start w:w="120" w:type="dxa"/>
              <w:bottom w:w="100" w:type="dxa"/>
              <w:end w:w="120" w:type="dxa"/>
            </w:tcMar>
          </w:tcPr>
          <w:p>
            <w:pPr>
              <w:spacing w:after="0"/>
            </w:pPr>
            <w:r>
              <w:t>The migration has run and QA has read-only database access.</w:t>
            </w:r>
          </w:p>
        </w:tc>
      </w:tr>
      <w:tr>
        <w:tc>
          <w:tcPr>
            <w:tcW w:type="dxa" w:w="1944"/>
            <w:vAlign w:val="center"/>
            <w:shd w:fill="D9EAF7"/>
            <w:tcMar>
              <w:top w:w="100" w:type="dxa"/>
              <w:start w:w="120" w:type="dxa"/>
              <w:bottom w:w="100" w:type="dxa"/>
              <w:end w:w="120" w:type="dxa"/>
            </w:tcMar>
          </w:tcPr>
          <w:p>
            <w:r>
              <w:rPr>
                <w:b/>
              </w:rPr>
              <w:t>Steps</w:t>
            </w:r>
          </w:p>
        </w:tc>
        <w:tc>
          <w:tcPr>
            <w:tcW w:type="dxa" w:w="8136"/>
            <w:vAlign w:val="center"/>
            <w:tcMar>
              <w:top w:w="100" w:type="dxa"/>
              <w:start w:w="120" w:type="dxa"/>
              <w:bottom w:w="100" w:type="dxa"/>
              <w:end w:w="120" w:type="dxa"/>
            </w:tcMar>
          </w:tcPr>
          <w:p>
            <w:pPr>
              <w:spacing w:after="0"/>
            </w:pPr>
            <w:r>
              <w:t>1. Run the Building verification SQL shown below.</w:t>
              <w:br/>
              <w:t>2. Compare total, populated, and unique UUID counts.</w:t>
              <w:br/>
              <w:t>3. Check several public_id values visually against the UUID format.</w:t>
            </w:r>
          </w:p>
        </w:tc>
      </w:tr>
      <w:tr>
        <w:tc>
          <w:tcPr>
            <w:tcW w:type="dxa" w:w="1944"/>
            <w:vAlign w:val="center"/>
            <w:shd w:fill="D9EAF7"/>
            <w:tcMar>
              <w:top w:w="100" w:type="dxa"/>
              <w:start w:w="120" w:type="dxa"/>
              <w:bottom w:w="100" w:type="dxa"/>
              <w:end w:w="120" w:type="dxa"/>
            </w:tcMar>
          </w:tcPr>
          <w:p>
            <w:r>
              <w:rPr>
                <w:b/>
              </w:rPr>
              <w:t>Expected result</w:t>
            </w:r>
          </w:p>
        </w:tc>
        <w:tc>
          <w:tcPr>
            <w:tcW w:type="dxa" w:w="8136"/>
            <w:vAlign w:val="center"/>
            <w:tcMar>
              <w:top w:w="100" w:type="dxa"/>
              <w:start w:w="120" w:type="dxa"/>
              <w:bottom w:w="100" w:type="dxa"/>
              <w:end w:w="120" w:type="dxa"/>
            </w:tcMar>
          </w:tcPr>
          <w:p>
            <w:pPr>
              <w:spacing w:after="0"/>
            </w:pPr>
            <w:r>
              <w:t>Total is greater than zero. Total, populated, and unique UUID counts are equal. Sample values use UUID format.</w:t>
            </w:r>
          </w:p>
        </w:tc>
      </w:tr>
      <w:tr>
        <w:tc>
          <w:tcPr>
            <w:tcW w:type="dxa" w:w="1944"/>
            <w:vAlign w:val="center"/>
            <w:shd w:fill="D9EAF7"/>
            <w:tcMar>
              <w:top w:w="100" w:type="dxa"/>
              <w:start w:w="120" w:type="dxa"/>
              <w:bottom w:w="100" w:type="dxa"/>
              <w:end w:w="120" w:type="dxa"/>
            </w:tcMar>
          </w:tcPr>
          <w:p>
            <w:r>
              <w:rPr>
                <w:b/>
              </w:rPr>
              <w:t>Evidence</w:t>
            </w:r>
          </w:p>
        </w:tc>
        <w:tc>
          <w:tcPr>
            <w:tcW w:type="dxa" w:w="8136"/>
            <w:vAlign w:val="center"/>
            <w:tcMar>
              <w:top w:w="100" w:type="dxa"/>
              <w:start w:w="120" w:type="dxa"/>
              <w:bottom w:w="100" w:type="dxa"/>
              <w:end w:w="120" w:type="dxa"/>
            </w:tcMar>
          </w:tcPr>
          <w:p>
            <w:pPr>
              <w:spacing w:after="0"/>
            </w:pPr>
            <w:r>
              <w:t>Attach the SQL result or a screenshot with sensitive connection details hidden.</w:t>
            </w:r>
          </w:p>
        </w:tc>
      </w:tr>
      <w:tr>
        <w:tc>
          <w:tcPr>
            <w:tcW w:type="dxa" w:w="1944"/>
            <w:vAlign w:val="center"/>
            <w:shd w:fill="D9EAF7"/>
            <w:tcMar>
              <w:top w:w="100" w:type="dxa"/>
              <w:start w:w="120" w:type="dxa"/>
              <w:bottom w:w="100" w:type="dxa"/>
              <w:end w:w="120" w:type="dxa"/>
            </w:tcMar>
          </w:tcPr>
          <w:p>
            <w:r>
              <w:rPr>
                <w:b/>
              </w:rPr>
              <w:t>Result</w:t>
            </w:r>
          </w:p>
        </w:tc>
        <w:tc>
          <w:tcPr>
            <w:tcW w:type="dxa" w:w="8136"/>
            <w:vAlign w:val="center"/>
            <w:tcMar>
              <w:top w:w="100" w:type="dxa"/>
              <w:start w:w="120" w:type="dxa"/>
              <w:bottom w:w="100" w:type="dxa"/>
              <w:end w:w="120" w:type="dxa"/>
            </w:tcMar>
          </w:tcPr>
          <w:p>
            <w:pPr>
              <w:spacing w:after="0"/>
            </w:pPr>
            <w:r>
              <w:t>PASS / FAIL    Tester: __________    Date: __________</w:t>
            </w:r>
          </w:p>
        </w:tc>
      </w:tr>
    </w:tbl>
    <w:p>
      <w:pPr>
        <w:spacing w:after="40"/>
      </w:pPr>
    </w:p>
    <w:p>
      <w:pPr>
        <w:spacing w:before="60" w:after="120"/>
        <w:ind w:left="432" w:right="432"/>
      </w:pPr>
      <w:r>
        <w:rPr>
          <w:rFonts w:ascii="Consolas" w:hAnsi="Consolas"/>
          <w:sz w:val="18"/>
        </w:rPr>
        <w:t>SELECT count(*) AS total, count(public_id) AS populated,</w:t>
        <w:br/>
        <w:t xml:space="preserve">       count(DISTINCT public_id) AS unique_ids</w:t>
        <w:br/>
        <w:t>FROM building_info.buildings;</w:t>
      </w:r>
    </w:p>
    <w:p>
      <w:pPr>
        <w:pStyle w:val="Heading2"/>
        <w:keepNext/>
      </w:pPr>
      <w:r>
        <w:t>TC 02  Containment public IDs are populated unique UUIDs</w:t>
      </w:r>
    </w:p>
    <w:tbl>
      <w:tblPr>
        <w:tblW w:type="auto" w:w="0"/>
        <w:jc w:val="center"/>
        <w:tblLayout w:type="fixed"/>
        <w:tblLook w:firstColumn="1" w:firstRow="1" w:lastColumn="0" w:lastRow="0" w:noHBand="0" w:noVBand="1" w:val="04A0"/>
      </w:tblPr>
      <w:tblGrid>
        <w:gridCol w:w="1944"/>
        <w:gridCol w:w="8136"/>
      </w:tblGrid>
      <w:tr>
        <w:tc>
          <w:tcPr>
            <w:tcW w:type="dxa" w:w="1944"/>
            <w:vAlign w:val="center"/>
            <w:shd w:fill="D9EAF7"/>
            <w:tcMar>
              <w:top w:w="100" w:type="dxa"/>
              <w:start w:w="120" w:type="dxa"/>
              <w:bottom w:w="100" w:type="dxa"/>
              <w:end w:w="120" w:type="dxa"/>
            </w:tcMar>
          </w:tcPr>
          <w:p>
            <w:r>
              <w:rPr>
                <w:b/>
              </w:rPr>
              <w:t>Objective</w:t>
            </w:r>
          </w:p>
        </w:tc>
        <w:tc>
          <w:tcPr>
            <w:tcW w:type="dxa" w:w="8136"/>
            <w:vAlign w:val="center"/>
            <w:tcMar>
              <w:top w:w="100" w:type="dxa"/>
              <w:start w:w="120" w:type="dxa"/>
              <w:bottom w:w="100" w:type="dxa"/>
              <w:end w:w="120" w:type="dxa"/>
            </w:tcMar>
          </w:tcPr>
          <w:p>
            <w:pPr>
              <w:spacing w:after="0"/>
            </w:pPr>
            <w:r>
              <w:t>Confirm existing Containments have valid and non-duplicated public IDs.</w:t>
            </w:r>
          </w:p>
        </w:tc>
      </w:tr>
      <w:tr>
        <w:tc>
          <w:tcPr>
            <w:tcW w:type="dxa" w:w="1944"/>
            <w:vAlign w:val="center"/>
            <w:shd w:fill="D9EAF7"/>
            <w:tcMar>
              <w:top w:w="100" w:type="dxa"/>
              <w:start w:w="120" w:type="dxa"/>
              <w:bottom w:w="100" w:type="dxa"/>
              <w:end w:w="120" w:type="dxa"/>
            </w:tcMar>
          </w:tcPr>
          <w:p>
            <w:r>
              <w:rPr>
                <w:b/>
              </w:rPr>
              <w:t>Preconditions</w:t>
            </w:r>
          </w:p>
        </w:tc>
        <w:tc>
          <w:tcPr>
            <w:tcW w:type="dxa" w:w="8136"/>
            <w:vAlign w:val="center"/>
            <w:tcMar>
              <w:top w:w="100" w:type="dxa"/>
              <w:start w:w="120" w:type="dxa"/>
              <w:bottom w:w="100" w:type="dxa"/>
              <w:end w:w="120" w:type="dxa"/>
            </w:tcMar>
          </w:tcPr>
          <w:p>
            <w:pPr>
              <w:spacing w:after="0"/>
            </w:pPr>
            <w:r>
              <w:t>The migration has run and QA has read-only database access.</w:t>
            </w:r>
          </w:p>
        </w:tc>
      </w:tr>
      <w:tr>
        <w:tc>
          <w:tcPr>
            <w:tcW w:type="dxa" w:w="1944"/>
            <w:vAlign w:val="center"/>
            <w:shd w:fill="D9EAF7"/>
            <w:tcMar>
              <w:top w:w="100" w:type="dxa"/>
              <w:start w:w="120" w:type="dxa"/>
              <w:bottom w:w="100" w:type="dxa"/>
              <w:end w:w="120" w:type="dxa"/>
            </w:tcMar>
          </w:tcPr>
          <w:p>
            <w:r>
              <w:rPr>
                <w:b/>
              </w:rPr>
              <w:t>Steps</w:t>
            </w:r>
          </w:p>
        </w:tc>
        <w:tc>
          <w:tcPr>
            <w:tcW w:type="dxa" w:w="8136"/>
            <w:vAlign w:val="center"/>
            <w:tcMar>
              <w:top w:w="100" w:type="dxa"/>
              <w:start w:w="120" w:type="dxa"/>
              <w:bottom w:w="100" w:type="dxa"/>
              <w:end w:w="120" w:type="dxa"/>
            </w:tcMar>
          </w:tcPr>
          <w:p>
            <w:pPr>
              <w:spacing w:after="0"/>
            </w:pPr>
            <w:r>
              <w:t>1. Run the Containment verification SQL shown below.</w:t>
              <w:br/>
              <w:t>2. Compare total, populated, and unique UUID counts.</w:t>
              <w:br/>
              <w:t>3. Check several public_id values visually against the UUID format.</w:t>
            </w:r>
          </w:p>
        </w:tc>
      </w:tr>
      <w:tr>
        <w:tc>
          <w:tcPr>
            <w:tcW w:type="dxa" w:w="1944"/>
            <w:vAlign w:val="center"/>
            <w:shd w:fill="D9EAF7"/>
            <w:tcMar>
              <w:top w:w="100" w:type="dxa"/>
              <w:start w:w="120" w:type="dxa"/>
              <w:bottom w:w="100" w:type="dxa"/>
              <w:end w:w="120" w:type="dxa"/>
            </w:tcMar>
          </w:tcPr>
          <w:p>
            <w:r>
              <w:rPr>
                <w:b/>
              </w:rPr>
              <w:t>Expected result</w:t>
            </w:r>
          </w:p>
        </w:tc>
        <w:tc>
          <w:tcPr>
            <w:tcW w:type="dxa" w:w="8136"/>
            <w:vAlign w:val="center"/>
            <w:tcMar>
              <w:top w:w="100" w:type="dxa"/>
              <w:start w:w="120" w:type="dxa"/>
              <w:bottom w:w="100" w:type="dxa"/>
              <w:end w:w="120" w:type="dxa"/>
            </w:tcMar>
          </w:tcPr>
          <w:p>
            <w:pPr>
              <w:spacing w:after="0"/>
            </w:pPr>
            <w:r>
              <w:t>Total is greater than zero. Total, populated, and unique UUID counts are equal. Sample values use UUID format.</w:t>
            </w:r>
          </w:p>
        </w:tc>
      </w:tr>
      <w:tr>
        <w:tc>
          <w:tcPr>
            <w:tcW w:type="dxa" w:w="1944"/>
            <w:vAlign w:val="center"/>
            <w:shd w:fill="D9EAF7"/>
            <w:tcMar>
              <w:top w:w="100" w:type="dxa"/>
              <w:start w:w="120" w:type="dxa"/>
              <w:bottom w:w="100" w:type="dxa"/>
              <w:end w:w="120" w:type="dxa"/>
            </w:tcMar>
          </w:tcPr>
          <w:p>
            <w:r>
              <w:rPr>
                <w:b/>
              </w:rPr>
              <w:t>Evidence</w:t>
            </w:r>
          </w:p>
        </w:tc>
        <w:tc>
          <w:tcPr>
            <w:tcW w:type="dxa" w:w="8136"/>
            <w:vAlign w:val="center"/>
            <w:tcMar>
              <w:top w:w="100" w:type="dxa"/>
              <w:start w:w="120" w:type="dxa"/>
              <w:bottom w:w="100" w:type="dxa"/>
              <w:end w:w="120" w:type="dxa"/>
            </w:tcMar>
          </w:tcPr>
          <w:p>
            <w:pPr>
              <w:spacing w:after="0"/>
            </w:pPr>
            <w:r>
              <w:t>Attach the SQL result or a screenshot with sensitive connection details hidden.</w:t>
            </w:r>
          </w:p>
        </w:tc>
      </w:tr>
      <w:tr>
        <w:tc>
          <w:tcPr>
            <w:tcW w:type="dxa" w:w="1944"/>
            <w:vAlign w:val="center"/>
            <w:shd w:fill="D9EAF7"/>
            <w:tcMar>
              <w:top w:w="100" w:type="dxa"/>
              <w:start w:w="120" w:type="dxa"/>
              <w:bottom w:w="100" w:type="dxa"/>
              <w:end w:w="120" w:type="dxa"/>
            </w:tcMar>
          </w:tcPr>
          <w:p>
            <w:r>
              <w:rPr>
                <w:b/>
              </w:rPr>
              <w:t>Result</w:t>
            </w:r>
          </w:p>
        </w:tc>
        <w:tc>
          <w:tcPr>
            <w:tcW w:type="dxa" w:w="8136"/>
            <w:vAlign w:val="center"/>
            <w:tcMar>
              <w:top w:w="100" w:type="dxa"/>
              <w:start w:w="120" w:type="dxa"/>
              <w:bottom w:w="100" w:type="dxa"/>
              <w:end w:w="120" w:type="dxa"/>
            </w:tcMar>
          </w:tcPr>
          <w:p>
            <w:pPr>
              <w:spacing w:after="0"/>
            </w:pPr>
            <w:r>
              <w:t>PASS / FAIL    Tester: __________    Date: __________</w:t>
            </w:r>
          </w:p>
        </w:tc>
      </w:tr>
    </w:tbl>
    <w:p>
      <w:pPr>
        <w:spacing w:after="40"/>
      </w:pPr>
    </w:p>
    <w:p>
      <w:pPr>
        <w:spacing w:before="60" w:after="120"/>
        <w:ind w:left="432" w:right="432"/>
      </w:pPr>
      <w:r>
        <w:rPr>
          <w:rFonts w:ascii="Consolas" w:hAnsi="Consolas"/>
          <w:sz w:val="18"/>
        </w:rPr>
        <w:t>SELECT count(*) AS total, count(public_id) AS populated,</w:t>
        <w:br/>
        <w:t xml:space="preserve">       count(DISTINCT public_id) AS unique_ids</w:t>
        <w:br/>
        <w:t>FROM fsm.containments;</w:t>
      </w:r>
    </w:p>
    <w:p>
      <w:pPr>
        <w:pStyle w:val="Heading2"/>
        <w:keepNext/>
      </w:pPr>
      <w:r>
        <w:t>TC 03  Building URLs use public ID and not BIN</w:t>
      </w:r>
    </w:p>
    <w:tbl>
      <w:tblPr>
        <w:tblW w:type="auto" w:w="0"/>
        <w:jc w:val="center"/>
        <w:tblLayout w:type="fixed"/>
        <w:tblLook w:firstColumn="1" w:firstRow="1" w:lastColumn="0" w:lastRow="0" w:noHBand="0" w:noVBand="1" w:val="04A0"/>
      </w:tblPr>
      <w:tblGrid>
        <w:gridCol w:w="1944"/>
        <w:gridCol w:w="8136"/>
      </w:tblGrid>
      <w:tr>
        <w:tc>
          <w:tcPr>
            <w:tcW w:type="dxa" w:w="1944"/>
            <w:vAlign w:val="center"/>
            <w:shd w:fill="D9EAF7"/>
            <w:tcMar>
              <w:top w:w="100" w:type="dxa"/>
              <w:start w:w="120" w:type="dxa"/>
              <w:bottom w:w="100" w:type="dxa"/>
              <w:end w:w="120" w:type="dxa"/>
            </w:tcMar>
          </w:tcPr>
          <w:p>
            <w:r>
              <w:rPr>
                <w:b/>
              </w:rPr>
              <w:t>Objective</w:t>
            </w:r>
          </w:p>
        </w:tc>
        <w:tc>
          <w:tcPr>
            <w:tcW w:type="dxa" w:w="8136"/>
            <w:vAlign w:val="center"/>
            <w:tcMar>
              <w:top w:w="100" w:type="dxa"/>
              <w:start w:w="120" w:type="dxa"/>
              <w:bottom w:w="100" w:type="dxa"/>
              <w:end w:w="120" w:type="dxa"/>
            </w:tcMar>
          </w:tcPr>
          <w:p>
            <w:pPr>
              <w:spacing w:after="0"/>
            </w:pPr>
            <w:r>
              <w:t>Verify Building actions do not expose BIN in the address bar.</w:t>
            </w:r>
          </w:p>
        </w:tc>
      </w:tr>
      <w:tr>
        <w:tc>
          <w:tcPr>
            <w:tcW w:type="dxa" w:w="1944"/>
            <w:vAlign w:val="center"/>
            <w:shd w:fill="D9EAF7"/>
            <w:tcMar>
              <w:top w:w="100" w:type="dxa"/>
              <w:start w:w="120" w:type="dxa"/>
              <w:bottom w:w="100" w:type="dxa"/>
              <w:end w:w="120" w:type="dxa"/>
            </w:tcMar>
          </w:tcPr>
          <w:p>
            <w:r>
              <w:rPr>
                <w:b/>
              </w:rPr>
              <w:t>Preconditions</w:t>
            </w:r>
          </w:p>
        </w:tc>
        <w:tc>
          <w:tcPr>
            <w:tcW w:type="dxa" w:w="8136"/>
            <w:vAlign w:val="center"/>
            <w:tcMar>
              <w:top w:w="100" w:type="dxa"/>
              <w:start w:w="120" w:type="dxa"/>
              <w:bottom w:w="100" w:type="dxa"/>
              <w:end w:w="120" w:type="dxa"/>
            </w:tcMar>
          </w:tcPr>
          <w:p>
            <w:pPr>
              <w:spacing w:after="0"/>
            </w:pPr>
            <w:r>
              <w:t>A Building with a known BIN is available and the tester has the required permissions.</w:t>
            </w:r>
          </w:p>
        </w:tc>
      </w:tr>
      <w:tr>
        <w:tc>
          <w:tcPr>
            <w:tcW w:type="dxa" w:w="1944"/>
            <w:vAlign w:val="center"/>
            <w:shd w:fill="D9EAF7"/>
            <w:tcMar>
              <w:top w:w="100" w:type="dxa"/>
              <w:start w:w="120" w:type="dxa"/>
              <w:bottom w:w="100" w:type="dxa"/>
              <w:end w:w="120" w:type="dxa"/>
            </w:tcMar>
          </w:tcPr>
          <w:p>
            <w:r>
              <w:rPr>
                <w:b/>
              </w:rPr>
              <w:t>Steps</w:t>
            </w:r>
          </w:p>
        </w:tc>
        <w:tc>
          <w:tcPr>
            <w:tcW w:type="dxa" w:w="8136"/>
            <w:vAlign w:val="center"/>
            <w:tcMar>
              <w:top w:w="100" w:type="dxa"/>
              <w:start w:w="120" w:type="dxa"/>
              <w:bottom w:w="100" w:type="dxa"/>
              <w:end w:w="120" w:type="dxa"/>
            </w:tcMar>
          </w:tcPr>
          <w:p>
            <w:pPr>
              <w:spacing w:after="0"/>
            </w:pPr>
            <w:r>
              <w:t>1. Open the Building list.</w:t>
              <w:br/>
              <w:t>2. Record the BIN displayed for one Building.</w:t>
              <w:br/>
              <w:t>3. Open Detail, Edit, History, Connected Containments, Map, and Nearest Road actions when available.</w:t>
              <w:br/>
              <w:t>4. Inspect the address bar after each action.</w:t>
            </w:r>
          </w:p>
        </w:tc>
      </w:tr>
      <w:tr>
        <w:tc>
          <w:tcPr>
            <w:tcW w:type="dxa" w:w="1944"/>
            <w:vAlign w:val="center"/>
            <w:shd w:fill="D9EAF7"/>
            <w:tcMar>
              <w:top w:w="100" w:type="dxa"/>
              <w:start w:w="120" w:type="dxa"/>
              <w:bottom w:w="100" w:type="dxa"/>
              <w:end w:w="120" w:type="dxa"/>
            </w:tcMar>
          </w:tcPr>
          <w:p>
            <w:r>
              <w:rPr>
                <w:b/>
              </w:rPr>
              <w:t>Expected result</w:t>
            </w:r>
          </w:p>
        </w:tc>
        <w:tc>
          <w:tcPr>
            <w:tcW w:type="dxa" w:w="8136"/>
            <w:vAlign w:val="center"/>
            <w:tcMar>
              <w:top w:w="100" w:type="dxa"/>
              <w:start w:w="120" w:type="dxa"/>
              <w:bottom w:w="100" w:type="dxa"/>
              <w:end w:w="120" w:type="dxa"/>
            </w:tcMar>
          </w:tcPr>
          <w:p>
            <w:pPr>
              <w:spacing w:after="0"/>
            </w:pPr>
            <w:r>
              <w:t>Each URL contains a UUID and does not contain the recorded BIN. Each action still works.</w:t>
            </w:r>
          </w:p>
        </w:tc>
      </w:tr>
      <w:tr>
        <w:tc>
          <w:tcPr>
            <w:tcW w:type="dxa" w:w="1944"/>
            <w:vAlign w:val="center"/>
            <w:shd w:fill="D9EAF7"/>
            <w:tcMar>
              <w:top w:w="100" w:type="dxa"/>
              <w:start w:w="120" w:type="dxa"/>
              <w:bottom w:w="100" w:type="dxa"/>
              <w:end w:w="120" w:type="dxa"/>
            </w:tcMar>
          </w:tcPr>
          <w:p>
            <w:r>
              <w:rPr>
                <w:b/>
              </w:rPr>
              <w:t>Evidence</w:t>
            </w:r>
          </w:p>
        </w:tc>
        <w:tc>
          <w:tcPr>
            <w:tcW w:type="dxa" w:w="8136"/>
            <w:vAlign w:val="center"/>
            <w:tcMar>
              <w:top w:w="100" w:type="dxa"/>
              <w:start w:w="120" w:type="dxa"/>
              <w:bottom w:w="100" w:type="dxa"/>
              <w:end w:w="120" w:type="dxa"/>
            </w:tcMar>
          </w:tcPr>
          <w:p>
            <w:pPr>
              <w:spacing w:after="0"/>
            </w:pPr>
            <w:r>
              <w:t>Capture screenshots of the list record and each resulting address bar.</w:t>
            </w:r>
          </w:p>
        </w:tc>
      </w:tr>
      <w:tr>
        <w:tc>
          <w:tcPr>
            <w:tcW w:type="dxa" w:w="1944"/>
            <w:vAlign w:val="center"/>
            <w:shd w:fill="D9EAF7"/>
            <w:tcMar>
              <w:top w:w="100" w:type="dxa"/>
              <w:start w:w="120" w:type="dxa"/>
              <w:bottom w:w="100" w:type="dxa"/>
              <w:end w:w="120" w:type="dxa"/>
            </w:tcMar>
          </w:tcPr>
          <w:p>
            <w:r>
              <w:rPr>
                <w:b/>
              </w:rPr>
              <w:t>Result</w:t>
            </w:r>
          </w:p>
        </w:tc>
        <w:tc>
          <w:tcPr>
            <w:tcW w:type="dxa" w:w="8136"/>
            <w:vAlign w:val="center"/>
            <w:tcMar>
              <w:top w:w="100" w:type="dxa"/>
              <w:start w:w="120" w:type="dxa"/>
              <w:bottom w:w="100" w:type="dxa"/>
              <w:end w:w="120" w:type="dxa"/>
            </w:tcMar>
          </w:tcPr>
          <w:p>
            <w:pPr>
              <w:spacing w:after="0"/>
            </w:pPr>
            <w:r>
              <w:t>PASS / FAIL    Tester: __________    Date: __________</w:t>
            </w:r>
          </w:p>
        </w:tc>
      </w:tr>
    </w:tbl>
    <w:p>
      <w:pPr>
        <w:spacing w:after="40"/>
      </w:pPr>
    </w:p>
    <w:p>
      <w:pPr>
        <w:pStyle w:val="Heading2"/>
        <w:keepNext/>
      </w:pPr>
      <w:r>
        <w:t>TC 04  Containment URLs use public ID and not internal ID</w:t>
      </w:r>
    </w:p>
    <w:tbl>
      <w:tblPr>
        <w:tblW w:type="auto" w:w="0"/>
        <w:jc w:val="center"/>
        <w:tblLayout w:type="fixed"/>
        <w:tblLook w:firstColumn="1" w:firstRow="1" w:lastColumn="0" w:lastRow="0" w:noHBand="0" w:noVBand="1" w:val="04A0"/>
      </w:tblPr>
      <w:tblGrid>
        <w:gridCol w:w="1944"/>
        <w:gridCol w:w="8136"/>
      </w:tblGrid>
      <w:tr>
        <w:tc>
          <w:tcPr>
            <w:tcW w:type="dxa" w:w="1944"/>
            <w:vAlign w:val="center"/>
            <w:shd w:fill="D9EAF7"/>
            <w:tcMar>
              <w:top w:w="100" w:type="dxa"/>
              <w:start w:w="120" w:type="dxa"/>
              <w:bottom w:w="100" w:type="dxa"/>
              <w:end w:w="120" w:type="dxa"/>
            </w:tcMar>
          </w:tcPr>
          <w:p>
            <w:r>
              <w:rPr>
                <w:b/>
              </w:rPr>
              <w:t>Objective</w:t>
            </w:r>
          </w:p>
        </w:tc>
        <w:tc>
          <w:tcPr>
            <w:tcW w:type="dxa" w:w="8136"/>
            <w:vAlign w:val="center"/>
            <w:tcMar>
              <w:top w:w="100" w:type="dxa"/>
              <w:start w:w="120" w:type="dxa"/>
              <w:bottom w:w="100" w:type="dxa"/>
              <w:end w:w="120" w:type="dxa"/>
            </w:tcMar>
          </w:tcPr>
          <w:p>
            <w:pPr>
              <w:spacing w:after="0"/>
            </w:pPr>
            <w:r>
              <w:t>Verify Containment actions do not expose the internal Containment ID in the address bar.</w:t>
            </w:r>
          </w:p>
        </w:tc>
      </w:tr>
      <w:tr>
        <w:tc>
          <w:tcPr>
            <w:tcW w:type="dxa" w:w="1944"/>
            <w:vAlign w:val="center"/>
            <w:shd w:fill="D9EAF7"/>
            <w:tcMar>
              <w:top w:w="100" w:type="dxa"/>
              <w:start w:w="120" w:type="dxa"/>
              <w:bottom w:w="100" w:type="dxa"/>
              <w:end w:w="120" w:type="dxa"/>
            </w:tcMar>
          </w:tcPr>
          <w:p>
            <w:r>
              <w:rPr>
                <w:b/>
              </w:rPr>
              <w:t>Preconditions</w:t>
            </w:r>
          </w:p>
        </w:tc>
        <w:tc>
          <w:tcPr>
            <w:tcW w:type="dxa" w:w="8136"/>
            <w:vAlign w:val="center"/>
            <w:tcMar>
              <w:top w:w="100" w:type="dxa"/>
              <w:start w:w="120" w:type="dxa"/>
              <w:bottom w:w="100" w:type="dxa"/>
              <w:end w:w="120" w:type="dxa"/>
            </w:tcMar>
          </w:tcPr>
          <w:p>
            <w:pPr>
              <w:spacing w:after="0"/>
            </w:pPr>
            <w:r>
              <w:t>A Containment with a known ID is available and the tester has the required permissions.</w:t>
            </w:r>
          </w:p>
        </w:tc>
      </w:tr>
      <w:tr>
        <w:tc>
          <w:tcPr>
            <w:tcW w:type="dxa" w:w="1944"/>
            <w:vAlign w:val="center"/>
            <w:shd w:fill="D9EAF7"/>
            <w:tcMar>
              <w:top w:w="100" w:type="dxa"/>
              <w:start w:w="120" w:type="dxa"/>
              <w:bottom w:w="100" w:type="dxa"/>
              <w:end w:w="120" w:type="dxa"/>
            </w:tcMar>
          </w:tcPr>
          <w:p>
            <w:r>
              <w:rPr>
                <w:b/>
              </w:rPr>
              <w:t>Steps</w:t>
            </w:r>
          </w:p>
        </w:tc>
        <w:tc>
          <w:tcPr>
            <w:tcW w:type="dxa" w:w="8136"/>
            <w:vAlign w:val="center"/>
            <w:tcMar>
              <w:top w:w="100" w:type="dxa"/>
              <w:start w:w="120" w:type="dxa"/>
              <w:bottom w:w="100" w:type="dxa"/>
              <w:end w:w="120" w:type="dxa"/>
            </w:tcMar>
          </w:tcPr>
          <w:p>
            <w:pPr>
              <w:spacing w:after="0"/>
            </w:pPr>
            <w:r>
              <w:t>1. Open the Containment list.</w:t>
              <w:br/>
              <w:t>2. Record one displayed Containment ID.</w:t>
              <w:br/>
              <w:t>3. Open Detail, Edit, History, Type Change History, Connected Buildings, Map, Nearest Road, and Emptying History when available.</w:t>
              <w:br/>
              <w:t>4. Inspect the address bar after each action.</w:t>
            </w:r>
          </w:p>
        </w:tc>
      </w:tr>
      <w:tr>
        <w:tc>
          <w:tcPr>
            <w:tcW w:type="dxa" w:w="1944"/>
            <w:vAlign w:val="center"/>
            <w:shd w:fill="D9EAF7"/>
            <w:tcMar>
              <w:top w:w="100" w:type="dxa"/>
              <w:start w:w="120" w:type="dxa"/>
              <w:bottom w:w="100" w:type="dxa"/>
              <w:end w:w="120" w:type="dxa"/>
            </w:tcMar>
          </w:tcPr>
          <w:p>
            <w:r>
              <w:rPr>
                <w:b/>
              </w:rPr>
              <w:t>Expected result</w:t>
            </w:r>
          </w:p>
        </w:tc>
        <w:tc>
          <w:tcPr>
            <w:tcW w:type="dxa" w:w="8136"/>
            <w:vAlign w:val="center"/>
            <w:tcMar>
              <w:top w:w="100" w:type="dxa"/>
              <w:start w:w="120" w:type="dxa"/>
              <w:bottom w:w="100" w:type="dxa"/>
              <w:end w:w="120" w:type="dxa"/>
            </w:tcMar>
          </w:tcPr>
          <w:p>
            <w:pPr>
              <w:spacing w:after="0"/>
            </w:pPr>
            <w:r>
              <w:t>Each record-specific URL contains a UUID and does not contain the recorded internal ID. Each action still works.</w:t>
            </w:r>
          </w:p>
        </w:tc>
      </w:tr>
      <w:tr>
        <w:tc>
          <w:tcPr>
            <w:tcW w:type="dxa" w:w="1944"/>
            <w:vAlign w:val="center"/>
            <w:shd w:fill="D9EAF7"/>
            <w:tcMar>
              <w:top w:w="100" w:type="dxa"/>
              <w:start w:w="120" w:type="dxa"/>
              <w:bottom w:w="100" w:type="dxa"/>
              <w:end w:w="120" w:type="dxa"/>
            </w:tcMar>
          </w:tcPr>
          <w:p>
            <w:r>
              <w:rPr>
                <w:b/>
              </w:rPr>
              <w:t>Evidence</w:t>
            </w:r>
          </w:p>
        </w:tc>
        <w:tc>
          <w:tcPr>
            <w:tcW w:type="dxa" w:w="8136"/>
            <w:vAlign w:val="center"/>
            <w:tcMar>
              <w:top w:w="100" w:type="dxa"/>
              <w:start w:w="120" w:type="dxa"/>
              <w:bottom w:w="100" w:type="dxa"/>
              <w:end w:w="120" w:type="dxa"/>
            </w:tcMar>
          </w:tcPr>
          <w:p>
            <w:pPr>
              <w:spacing w:after="0"/>
            </w:pPr>
            <w:r>
              <w:t>Capture screenshots of the selected record and resulting address bars.</w:t>
            </w:r>
          </w:p>
        </w:tc>
      </w:tr>
      <w:tr>
        <w:tc>
          <w:tcPr>
            <w:tcW w:type="dxa" w:w="1944"/>
            <w:vAlign w:val="center"/>
            <w:shd w:fill="D9EAF7"/>
            <w:tcMar>
              <w:top w:w="100" w:type="dxa"/>
              <w:start w:w="120" w:type="dxa"/>
              <w:bottom w:w="100" w:type="dxa"/>
              <w:end w:w="120" w:type="dxa"/>
            </w:tcMar>
          </w:tcPr>
          <w:p>
            <w:r>
              <w:rPr>
                <w:b/>
              </w:rPr>
              <w:t>Result</w:t>
            </w:r>
          </w:p>
        </w:tc>
        <w:tc>
          <w:tcPr>
            <w:tcW w:type="dxa" w:w="8136"/>
            <w:vAlign w:val="center"/>
            <w:tcMar>
              <w:top w:w="100" w:type="dxa"/>
              <w:start w:w="120" w:type="dxa"/>
              <w:bottom w:w="100" w:type="dxa"/>
              <w:end w:w="120" w:type="dxa"/>
            </w:tcMar>
          </w:tcPr>
          <w:p>
            <w:pPr>
              <w:spacing w:after="0"/>
            </w:pPr>
            <w:r>
              <w:t>PASS / FAIL    Tester: __________    Date: __________</w:t>
            </w:r>
          </w:p>
        </w:tc>
      </w:tr>
    </w:tbl>
    <w:p>
      <w:pPr>
        <w:spacing w:after="40"/>
      </w:pPr>
    </w:p>
    <w:p>
      <w:pPr>
        <w:pStyle w:val="Heading2"/>
        <w:keepNext/>
      </w:pPr>
      <w:r>
        <w:t>TC 05  Valid Building public ID resolves the correct record</w:t>
      </w:r>
    </w:p>
    <w:tbl>
      <w:tblPr>
        <w:tblW w:type="auto" w:w="0"/>
        <w:jc w:val="center"/>
        <w:tblLayout w:type="fixed"/>
        <w:tblLook w:firstColumn="1" w:firstRow="1" w:lastColumn="0" w:lastRow="0" w:noHBand="0" w:noVBand="1" w:val="04A0"/>
      </w:tblPr>
      <w:tblGrid>
        <w:gridCol w:w="1944"/>
        <w:gridCol w:w="8136"/>
      </w:tblGrid>
      <w:tr>
        <w:tc>
          <w:tcPr>
            <w:tcW w:type="dxa" w:w="1944"/>
            <w:vAlign w:val="center"/>
            <w:shd w:fill="D9EAF7"/>
            <w:tcMar>
              <w:top w:w="100" w:type="dxa"/>
              <w:start w:w="120" w:type="dxa"/>
              <w:bottom w:w="100" w:type="dxa"/>
              <w:end w:w="120" w:type="dxa"/>
            </w:tcMar>
          </w:tcPr>
          <w:p>
            <w:r>
              <w:rPr>
                <w:b/>
              </w:rPr>
              <w:t>Objective</w:t>
            </w:r>
          </w:p>
        </w:tc>
        <w:tc>
          <w:tcPr>
            <w:tcW w:type="dxa" w:w="8136"/>
            <w:vAlign w:val="center"/>
            <w:tcMar>
              <w:top w:w="100" w:type="dxa"/>
              <w:start w:w="120" w:type="dxa"/>
              <w:bottom w:w="100" w:type="dxa"/>
              <w:end w:w="120" w:type="dxa"/>
            </w:tcMar>
          </w:tcPr>
          <w:p>
            <w:pPr>
              <w:spacing w:after="0"/>
            </w:pPr>
            <w:r>
              <w:t>Confirm a Building UUID opens the Building it belongs to.</w:t>
            </w:r>
          </w:p>
        </w:tc>
      </w:tr>
      <w:tr>
        <w:tc>
          <w:tcPr>
            <w:tcW w:type="dxa" w:w="1944"/>
            <w:vAlign w:val="center"/>
            <w:shd w:fill="D9EAF7"/>
            <w:tcMar>
              <w:top w:w="100" w:type="dxa"/>
              <w:start w:w="120" w:type="dxa"/>
              <w:bottom w:w="100" w:type="dxa"/>
              <w:end w:w="120" w:type="dxa"/>
            </w:tcMar>
          </w:tcPr>
          <w:p>
            <w:r>
              <w:rPr>
                <w:b/>
              </w:rPr>
              <w:t>Preconditions</w:t>
            </w:r>
          </w:p>
        </w:tc>
        <w:tc>
          <w:tcPr>
            <w:tcW w:type="dxa" w:w="8136"/>
            <w:vAlign w:val="center"/>
            <w:tcMar>
              <w:top w:w="100" w:type="dxa"/>
              <w:start w:w="120" w:type="dxa"/>
              <w:bottom w:w="100" w:type="dxa"/>
              <w:end w:w="120" w:type="dxa"/>
            </w:tcMar>
          </w:tcPr>
          <w:p>
            <w:pPr>
              <w:spacing w:after="0"/>
            </w:pPr>
            <w:r>
              <w:t>QA can view the Building list and Building details.</w:t>
            </w:r>
          </w:p>
        </w:tc>
      </w:tr>
      <w:tr>
        <w:tc>
          <w:tcPr>
            <w:tcW w:type="dxa" w:w="1944"/>
            <w:vAlign w:val="center"/>
            <w:shd w:fill="D9EAF7"/>
            <w:tcMar>
              <w:top w:w="100" w:type="dxa"/>
              <w:start w:w="120" w:type="dxa"/>
              <w:bottom w:w="100" w:type="dxa"/>
              <w:end w:w="120" w:type="dxa"/>
            </w:tcMar>
          </w:tcPr>
          <w:p>
            <w:r>
              <w:rPr>
                <w:b/>
              </w:rPr>
              <w:t>Steps</w:t>
            </w:r>
          </w:p>
        </w:tc>
        <w:tc>
          <w:tcPr>
            <w:tcW w:type="dxa" w:w="8136"/>
            <w:vAlign w:val="center"/>
            <w:tcMar>
              <w:top w:w="100" w:type="dxa"/>
              <w:start w:w="120" w:type="dxa"/>
              <w:bottom w:w="100" w:type="dxa"/>
              <w:end w:w="120" w:type="dxa"/>
            </w:tcMar>
          </w:tcPr>
          <w:p>
            <w:pPr>
              <w:spacing w:after="0"/>
            </w:pPr>
            <w:r>
              <w:t>1. Choose a Building and record its BIN, house number, and UUID from its Detail URL.</w:t>
              <w:br/>
              <w:t>2. Copy the complete URL.</w:t>
              <w:br/>
              <w:t>3. Open the copied URL in a new browser tab while signed in.</w:t>
              <w:br/>
              <w:t>4. Compare the displayed Building details with the original record.</w:t>
            </w:r>
          </w:p>
        </w:tc>
      </w:tr>
      <w:tr>
        <w:tc>
          <w:tcPr>
            <w:tcW w:type="dxa" w:w="1944"/>
            <w:vAlign w:val="center"/>
            <w:shd w:fill="D9EAF7"/>
            <w:tcMar>
              <w:top w:w="100" w:type="dxa"/>
              <w:start w:w="120" w:type="dxa"/>
              <w:bottom w:w="100" w:type="dxa"/>
              <w:end w:w="120" w:type="dxa"/>
            </w:tcMar>
          </w:tcPr>
          <w:p>
            <w:r>
              <w:rPr>
                <w:b/>
              </w:rPr>
              <w:t>Expected result</w:t>
            </w:r>
          </w:p>
        </w:tc>
        <w:tc>
          <w:tcPr>
            <w:tcW w:type="dxa" w:w="8136"/>
            <w:vAlign w:val="center"/>
            <w:tcMar>
              <w:top w:w="100" w:type="dxa"/>
              <w:start w:w="120" w:type="dxa"/>
              <w:bottom w:w="100" w:type="dxa"/>
              <w:end w:w="120" w:type="dxa"/>
            </w:tcMar>
          </w:tcPr>
          <w:p>
            <w:pPr>
              <w:spacing w:after="0"/>
            </w:pPr>
            <w:r>
              <w:t>The copied UUID URL opens the same Building. BIN, house number, and other identifying details match.</w:t>
            </w:r>
          </w:p>
        </w:tc>
      </w:tr>
      <w:tr>
        <w:tc>
          <w:tcPr>
            <w:tcW w:type="dxa" w:w="1944"/>
            <w:vAlign w:val="center"/>
            <w:shd w:fill="D9EAF7"/>
            <w:tcMar>
              <w:top w:w="100" w:type="dxa"/>
              <w:start w:w="120" w:type="dxa"/>
              <w:bottom w:w="100" w:type="dxa"/>
              <w:end w:w="120" w:type="dxa"/>
            </w:tcMar>
          </w:tcPr>
          <w:p>
            <w:r>
              <w:rPr>
                <w:b/>
              </w:rPr>
              <w:t>Evidence</w:t>
            </w:r>
          </w:p>
        </w:tc>
        <w:tc>
          <w:tcPr>
            <w:tcW w:type="dxa" w:w="8136"/>
            <w:vAlign w:val="center"/>
            <w:tcMar>
              <w:top w:w="100" w:type="dxa"/>
              <w:start w:w="120" w:type="dxa"/>
              <w:bottom w:w="100" w:type="dxa"/>
              <w:end w:w="120" w:type="dxa"/>
            </w:tcMar>
          </w:tcPr>
          <w:p>
            <w:pPr>
              <w:spacing w:after="0"/>
            </w:pPr>
            <w:r>
              <w:t>Capture the source list row and destination detail page.</w:t>
            </w:r>
          </w:p>
        </w:tc>
      </w:tr>
      <w:tr>
        <w:tc>
          <w:tcPr>
            <w:tcW w:type="dxa" w:w="1944"/>
            <w:vAlign w:val="center"/>
            <w:shd w:fill="D9EAF7"/>
            <w:tcMar>
              <w:top w:w="100" w:type="dxa"/>
              <w:start w:w="120" w:type="dxa"/>
              <w:bottom w:w="100" w:type="dxa"/>
              <w:end w:w="120" w:type="dxa"/>
            </w:tcMar>
          </w:tcPr>
          <w:p>
            <w:r>
              <w:rPr>
                <w:b/>
              </w:rPr>
              <w:t>Result</w:t>
            </w:r>
          </w:p>
        </w:tc>
        <w:tc>
          <w:tcPr>
            <w:tcW w:type="dxa" w:w="8136"/>
            <w:vAlign w:val="center"/>
            <w:tcMar>
              <w:top w:w="100" w:type="dxa"/>
              <w:start w:w="120" w:type="dxa"/>
              <w:bottom w:w="100" w:type="dxa"/>
              <w:end w:w="120" w:type="dxa"/>
            </w:tcMar>
          </w:tcPr>
          <w:p>
            <w:pPr>
              <w:spacing w:after="0"/>
            </w:pPr>
            <w:r>
              <w:t>PASS / FAIL    Tester: __________    Date: __________</w:t>
            </w:r>
          </w:p>
        </w:tc>
      </w:tr>
    </w:tbl>
    <w:p>
      <w:pPr>
        <w:spacing w:after="40"/>
      </w:pPr>
    </w:p>
    <w:p>
      <w:pPr>
        <w:pStyle w:val="Heading2"/>
        <w:keepNext/>
      </w:pPr>
      <w:r>
        <w:t>TC 06  Valid Containment public ID resolves the correct record</w:t>
      </w:r>
    </w:p>
    <w:tbl>
      <w:tblPr>
        <w:tblW w:type="auto" w:w="0"/>
        <w:jc w:val="center"/>
        <w:tblLayout w:type="fixed"/>
        <w:tblLook w:firstColumn="1" w:firstRow="1" w:lastColumn="0" w:lastRow="0" w:noHBand="0" w:noVBand="1" w:val="04A0"/>
      </w:tblPr>
      <w:tblGrid>
        <w:gridCol w:w="1944"/>
        <w:gridCol w:w="8136"/>
      </w:tblGrid>
      <w:tr>
        <w:tc>
          <w:tcPr>
            <w:tcW w:type="dxa" w:w="1944"/>
            <w:vAlign w:val="center"/>
            <w:shd w:fill="D9EAF7"/>
            <w:tcMar>
              <w:top w:w="100" w:type="dxa"/>
              <w:start w:w="120" w:type="dxa"/>
              <w:bottom w:w="100" w:type="dxa"/>
              <w:end w:w="120" w:type="dxa"/>
            </w:tcMar>
          </w:tcPr>
          <w:p>
            <w:r>
              <w:rPr>
                <w:b/>
              </w:rPr>
              <w:t>Objective</w:t>
            </w:r>
          </w:p>
        </w:tc>
        <w:tc>
          <w:tcPr>
            <w:tcW w:type="dxa" w:w="8136"/>
            <w:vAlign w:val="center"/>
            <w:tcMar>
              <w:top w:w="100" w:type="dxa"/>
              <w:start w:w="120" w:type="dxa"/>
              <w:bottom w:w="100" w:type="dxa"/>
              <w:end w:w="120" w:type="dxa"/>
            </w:tcMar>
          </w:tcPr>
          <w:p>
            <w:pPr>
              <w:spacing w:after="0"/>
            </w:pPr>
            <w:r>
              <w:t>Confirm a Containment UUID opens the Containment it belongs to.</w:t>
            </w:r>
          </w:p>
        </w:tc>
      </w:tr>
      <w:tr>
        <w:tc>
          <w:tcPr>
            <w:tcW w:type="dxa" w:w="1944"/>
            <w:vAlign w:val="center"/>
            <w:shd w:fill="D9EAF7"/>
            <w:tcMar>
              <w:top w:w="100" w:type="dxa"/>
              <w:start w:w="120" w:type="dxa"/>
              <w:bottom w:w="100" w:type="dxa"/>
              <w:end w:w="120" w:type="dxa"/>
            </w:tcMar>
          </w:tcPr>
          <w:p>
            <w:r>
              <w:rPr>
                <w:b/>
              </w:rPr>
              <w:t>Preconditions</w:t>
            </w:r>
          </w:p>
        </w:tc>
        <w:tc>
          <w:tcPr>
            <w:tcW w:type="dxa" w:w="8136"/>
            <w:vAlign w:val="center"/>
            <w:tcMar>
              <w:top w:w="100" w:type="dxa"/>
              <w:start w:w="120" w:type="dxa"/>
              <w:bottom w:w="100" w:type="dxa"/>
              <w:end w:w="120" w:type="dxa"/>
            </w:tcMar>
          </w:tcPr>
          <w:p>
            <w:pPr>
              <w:spacing w:after="0"/>
            </w:pPr>
            <w:r>
              <w:t>QA can view the Containment list and Containment details.</w:t>
            </w:r>
          </w:p>
        </w:tc>
      </w:tr>
      <w:tr>
        <w:tc>
          <w:tcPr>
            <w:tcW w:type="dxa" w:w="1944"/>
            <w:vAlign w:val="center"/>
            <w:shd w:fill="D9EAF7"/>
            <w:tcMar>
              <w:top w:w="100" w:type="dxa"/>
              <w:start w:w="120" w:type="dxa"/>
              <w:bottom w:w="100" w:type="dxa"/>
              <w:end w:w="120" w:type="dxa"/>
            </w:tcMar>
          </w:tcPr>
          <w:p>
            <w:r>
              <w:rPr>
                <w:b/>
              </w:rPr>
              <w:t>Steps</w:t>
            </w:r>
          </w:p>
        </w:tc>
        <w:tc>
          <w:tcPr>
            <w:tcW w:type="dxa" w:w="8136"/>
            <w:vAlign w:val="center"/>
            <w:tcMar>
              <w:top w:w="100" w:type="dxa"/>
              <w:start w:w="120" w:type="dxa"/>
              <w:bottom w:w="100" w:type="dxa"/>
              <w:end w:w="120" w:type="dxa"/>
            </w:tcMar>
          </w:tcPr>
          <w:p>
            <w:pPr>
              <w:spacing w:after="0"/>
            </w:pPr>
            <w:r>
              <w:t>1. Choose a Containment and record its displayed ID, type, and UUID from its Detail URL.</w:t>
              <w:br/>
              <w:t>2. Copy the complete URL.</w:t>
              <w:br/>
              <w:t>3. Open the copied URL in a new browser tab while signed in.</w:t>
              <w:br/>
              <w:t>4. Compare the displayed Containment details with the original record.</w:t>
            </w:r>
          </w:p>
        </w:tc>
      </w:tr>
      <w:tr>
        <w:tc>
          <w:tcPr>
            <w:tcW w:type="dxa" w:w="1944"/>
            <w:vAlign w:val="center"/>
            <w:shd w:fill="D9EAF7"/>
            <w:tcMar>
              <w:top w:w="100" w:type="dxa"/>
              <w:start w:w="120" w:type="dxa"/>
              <w:bottom w:w="100" w:type="dxa"/>
              <w:end w:w="120" w:type="dxa"/>
            </w:tcMar>
          </w:tcPr>
          <w:p>
            <w:r>
              <w:rPr>
                <w:b/>
              </w:rPr>
              <w:t>Expected result</w:t>
            </w:r>
          </w:p>
        </w:tc>
        <w:tc>
          <w:tcPr>
            <w:tcW w:type="dxa" w:w="8136"/>
            <w:vAlign w:val="center"/>
            <w:tcMar>
              <w:top w:w="100" w:type="dxa"/>
              <w:start w:w="120" w:type="dxa"/>
              <w:bottom w:w="100" w:type="dxa"/>
              <w:end w:w="120" w:type="dxa"/>
            </w:tcMar>
          </w:tcPr>
          <w:p>
            <w:pPr>
              <w:spacing w:after="0"/>
            </w:pPr>
            <w:r>
              <w:t>The copied UUID URL opens the same Containment. ID, type, and other details match.</w:t>
            </w:r>
          </w:p>
        </w:tc>
      </w:tr>
      <w:tr>
        <w:tc>
          <w:tcPr>
            <w:tcW w:type="dxa" w:w="1944"/>
            <w:vAlign w:val="center"/>
            <w:shd w:fill="D9EAF7"/>
            <w:tcMar>
              <w:top w:w="100" w:type="dxa"/>
              <w:start w:w="120" w:type="dxa"/>
              <w:bottom w:w="100" w:type="dxa"/>
              <w:end w:w="120" w:type="dxa"/>
            </w:tcMar>
          </w:tcPr>
          <w:p>
            <w:r>
              <w:rPr>
                <w:b/>
              </w:rPr>
              <w:t>Evidence</w:t>
            </w:r>
          </w:p>
        </w:tc>
        <w:tc>
          <w:tcPr>
            <w:tcW w:type="dxa" w:w="8136"/>
            <w:vAlign w:val="center"/>
            <w:tcMar>
              <w:top w:w="100" w:type="dxa"/>
              <w:start w:w="120" w:type="dxa"/>
              <w:bottom w:w="100" w:type="dxa"/>
              <w:end w:w="120" w:type="dxa"/>
            </w:tcMar>
          </w:tcPr>
          <w:p>
            <w:pPr>
              <w:spacing w:after="0"/>
            </w:pPr>
            <w:r>
              <w:t>Capture the source list row and destination detail page.</w:t>
            </w:r>
          </w:p>
        </w:tc>
      </w:tr>
      <w:tr>
        <w:tc>
          <w:tcPr>
            <w:tcW w:type="dxa" w:w="1944"/>
            <w:vAlign w:val="center"/>
            <w:shd w:fill="D9EAF7"/>
            <w:tcMar>
              <w:top w:w="100" w:type="dxa"/>
              <w:start w:w="120" w:type="dxa"/>
              <w:bottom w:w="100" w:type="dxa"/>
              <w:end w:w="120" w:type="dxa"/>
            </w:tcMar>
          </w:tcPr>
          <w:p>
            <w:r>
              <w:rPr>
                <w:b/>
              </w:rPr>
              <w:t>Result</w:t>
            </w:r>
          </w:p>
        </w:tc>
        <w:tc>
          <w:tcPr>
            <w:tcW w:type="dxa" w:w="8136"/>
            <w:vAlign w:val="center"/>
            <w:tcMar>
              <w:top w:w="100" w:type="dxa"/>
              <w:start w:w="120" w:type="dxa"/>
              <w:bottom w:w="100" w:type="dxa"/>
              <w:end w:w="120" w:type="dxa"/>
            </w:tcMar>
          </w:tcPr>
          <w:p>
            <w:pPr>
              <w:spacing w:after="0"/>
            </w:pPr>
            <w:r>
              <w:t>PASS / FAIL    Tester: __________    Date: __________</w:t>
            </w:r>
          </w:p>
        </w:tc>
      </w:tr>
    </w:tbl>
    <w:p>
      <w:pPr>
        <w:spacing w:after="40"/>
      </w:pPr>
    </w:p>
    <w:p>
      <w:pPr>
        <w:pStyle w:val="Heading2"/>
        <w:keepNext/>
      </w:pPr>
      <w:r>
        <w:t>TC 07  Internal and invalid identifiers do not bind</w:t>
      </w:r>
    </w:p>
    <w:tbl>
      <w:tblPr>
        <w:tblW w:type="auto" w:w="0"/>
        <w:jc w:val="center"/>
        <w:tblLayout w:type="fixed"/>
        <w:tblLook w:firstColumn="1" w:firstRow="1" w:lastColumn="0" w:lastRow="0" w:noHBand="0" w:noVBand="1" w:val="04A0"/>
      </w:tblPr>
      <w:tblGrid>
        <w:gridCol w:w="1944"/>
        <w:gridCol w:w="8136"/>
      </w:tblGrid>
      <w:tr>
        <w:tc>
          <w:tcPr>
            <w:tcW w:type="dxa" w:w="1944"/>
            <w:vAlign w:val="center"/>
            <w:shd w:fill="D9EAF7"/>
            <w:tcMar>
              <w:top w:w="100" w:type="dxa"/>
              <w:start w:w="120" w:type="dxa"/>
              <w:bottom w:w="100" w:type="dxa"/>
              <w:end w:w="120" w:type="dxa"/>
            </w:tcMar>
          </w:tcPr>
          <w:p>
            <w:r>
              <w:rPr>
                <w:b/>
              </w:rPr>
              <w:t>Objective</w:t>
            </w:r>
          </w:p>
        </w:tc>
        <w:tc>
          <w:tcPr>
            <w:tcW w:type="dxa" w:w="8136"/>
            <w:vAlign w:val="center"/>
            <w:tcMar>
              <w:top w:w="100" w:type="dxa"/>
              <w:start w:w="120" w:type="dxa"/>
              <w:bottom w:w="100" w:type="dxa"/>
              <w:end w:w="120" w:type="dxa"/>
            </w:tcMar>
          </w:tcPr>
          <w:p>
            <w:pPr>
              <w:spacing w:after="0"/>
            </w:pPr>
            <w:r>
              <w:t>Confirm old identifiers, malformed values, and unknown UUIDs cannot be used as public route identifiers.</w:t>
            </w:r>
          </w:p>
        </w:tc>
      </w:tr>
      <w:tr>
        <w:tc>
          <w:tcPr>
            <w:tcW w:type="dxa" w:w="1944"/>
            <w:vAlign w:val="center"/>
            <w:shd w:fill="D9EAF7"/>
            <w:tcMar>
              <w:top w:w="100" w:type="dxa"/>
              <w:start w:w="120" w:type="dxa"/>
              <w:bottom w:w="100" w:type="dxa"/>
              <w:end w:w="120" w:type="dxa"/>
            </w:tcMar>
          </w:tcPr>
          <w:p>
            <w:r>
              <w:rPr>
                <w:b/>
              </w:rPr>
              <w:t>Preconditions</w:t>
            </w:r>
          </w:p>
        </w:tc>
        <w:tc>
          <w:tcPr>
            <w:tcW w:type="dxa" w:w="8136"/>
            <w:vAlign w:val="center"/>
            <w:tcMar>
              <w:top w:w="100" w:type="dxa"/>
              <w:start w:w="120" w:type="dxa"/>
              <w:bottom w:w="100" w:type="dxa"/>
              <w:end w:w="120" w:type="dxa"/>
            </w:tcMar>
          </w:tcPr>
          <w:p>
            <w:pPr>
              <w:spacing w:after="0"/>
            </w:pPr>
            <w:r>
              <w:t>A valid Building URL and valid Containment URL are available.</w:t>
            </w:r>
          </w:p>
        </w:tc>
      </w:tr>
      <w:tr>
        <w:tc>
          <w:tcPr>
            <w:tcW w:type="dxa" w:w="1944"/>
            <w:vAlign w:val="center"/>
            <w:shd w:fill="D9EAF7"/>
            <w:tcMar>
              <w:top w:w="100" w:type="dxa"/>
              <w:start w:w="120" w:type="dxa"/>
              <w:bottom w:w="100" w:type="dxa"/>
              <w:end w:w="120" w:type="dxa"/>
            </w:tcMar>
          </w:tcPr>
          <w:p>
            <w:r>
              <w:rPr>
                <w:b/>
              </w:rPr>
              <w:t>Steps</w:t>
            </w:r>
          </w:p>
        </w:tc>
        <w:tc>
          <w:tcPr>
            <w:tcW w:type="dxa" w:w="8136"/>
            <w:vAlign w:val="center"/>
            <w:tcMar>
              <w:top w:w="100" w:type="dxa"/>
              <w:start w:w="120" w:type="dxa"/>
              <w:bottom w:w="100" w:type="dxa"/>
              <w:end w:w="120" w:type="dxa"/>
            </w:tcMar>
          </w:tcPr>
          <w:p>
            <w:pPr>
              <w:spacing w:after="0"/>
            </w:pPr>
            <w:r>
              <w:t>1. Replace the Building UUID in the URL with its BIN and load the page.</w:t>
              <w:br/>
              <w:t>2. Replace the Containment UUID in the URL with its internal ID and load the page.</w:t>
              <w:br/>
              <w:t>3. Replace a UUID with invalid-public-id and load the page.</w:t>
              <w:br/>
              <w:t>4. Replace a UUID with a correctly formatted but unknown UUID such as 00000000-0000-4000-8000-000000000000.</w:t>
            </w:r>
          </w:p>
        </w:tc>
      </w:tr>
      <w:tr>
        <w:tc>
          <w:tcPr>
            <w:tcW w:type="dxa" w:w="1944"/>
            <w:vAlign w:val="center"/>
            <w:shd w:fill="D9EAF7"/>
            <w:tcMar>
              <w:top w:w="100" w:type="dxa"/>
              <w:start w:w="120" w:type="dxa"/>
              <w:bottom w:w="100" w:type="dxa"/>
              <w:end w:w="120" w:type="dxa"/>
            </w:tcMar>
          </w:tcPr>
          <w:p>
            <w:r>
              <w:rPr>
                <w:b/>
              </w:rPr>
              <w:t>Expected result</w:t>
            </w:r>
          </w:p>
        </w:tc>
        <w:tc>
          <w:tcPr>
            <w:tcW w:type="dxa" w:w="8136"/>
            <w:vAlign w:val="center"/>
            <w:tcMar>
              <w:top w:w="100" w:type="dxa"/>
              <w:start w:w="120" w:type="dxa"/>
              <w:bottom w:w="100" w:type="dxa"/>
              <w:end w:w="120" w:type="dxa"/>
            </w:tcMar>
          </w:tcPr>
          <w:p>
            <w:pPr>
              <w:spacing w:after="0"/>
            </w:pPr>
            <w:r>
              <w:t>Each request returns the normal 404 Not Found response. It must not return 500, expose a database error, or open another record.</w:t>
            </w:r>
          </w:p>
        </w:tc>
      </w:tr>
      <w:tr>
        <w:tc>
          <w:tcPr>
            <w:tcW w:type="dxa" w:w="1944"/>
            <w:vAlign w:val="center"/>
            <w:shd w:fill="D9EAF7"/>
            <w:tcMar>
              <w:top w:w="100" w:type="dxa"/>
              <w:start w:w="120" w:type="dxa"/>
              <w:bottom w:w="100" w:type="dxa"/>
              <w:end w:w="120" w:type="dxa"/>
            </w:tcMar>
          </w:tcPr>
          <w:p>
            <w:r>
              <w:rPr>
                <w:b/>
              </w:rPr>
              <w:t>Evidence</w:t>
            </w:r>
          </w:p>
        </w:tc>
        <w:tc>
          <w:tcPr>
            <w:tcW w:type="dxa" w:w="8136"/>
            <w:vAlign w:val="center"/>
            <w:tcMar>
              <w:top w:w="100" w:type="dxa"/>
              <w:start w:w="120" w:type="dxa"/>
              <w:bottom w:w="100" w:type="dxa"/>
              <w:end w:w="120" w:type="dxa"/>
            </w:tcMar>
          </w:tcPr>
          <w:p>
            <w:pPr>
              <w:spacing w:after="0"/>
            </w:pPr>
            <w:r>
              <w:t>Capture the tested URLs and 404 responses. Record any 500 response as a high-priority defect.</w:t>
            </w:r>
          </w:p>
        </w:tc>
      </w:tr>
      <w:tr>
        <w:tc>
          <w:tcPr>
            <w:tcW w:type="dxa" w:w="1944"/>
            <w:vAlign w:val="center"/>
            <w:shd w:fill="D9EAF7"/>
            <w:tcMar>
              <w:top w:w="100" w:type="dxa"/>
              <w:start w:w="120" w:type="dxa"/>
              <w:bottom w:w="100" w:type="dxa"/>
              <w:end w:w="120" w:type="dxa"/>
            </w:tcMar>
          </w:tcPr>
          <w:p>
            <w:r>
              <w:rPr>
                <w:b/>
              </w:rPr>
              <w:t>Result</w:t>
            </w:r>
          </w:p>
        </w:tc>
        <w:tc>
          <w:tcPr>
            <w:tcW w:type="dxa" w:w="8136"/>
            <w:vAlign w:val="center"/>
            <w:tcMar>
              <w:top w:w="100" w:type="dxa"/>
              <w:start w:w="120" w:type="dxa"/>
              <w:bottom w:w="100" w:type="dxa"/>
              <w:end w:w="120" w:type="dxa"/>
            </w:tcMar>
          </w:tcPr>
          <w:p>
            <w:pPr>
              <w:spacing w:after="0"/>
            </w:pPr>
            <w:r>
              <w:t>PASS / FAIL    Tester: __________    Date: __________</w:t>
            </w:r>
          </w:p>
        </w:tc>
      </w:tr>
    </w:tbl>
    <w:p>
      <w:pPr>
        <w:spacing w:after="40"/>
      </w:pPr>
    </w:p>
    <w:p>
      <w:pPr>
        <w:pStyle w:val="Heading2"/>
        <w:keepNext/>
      </w:pPr>
      <w:r>
        <w:t>TC 08  New models receive unique public IDs</w:t>
      </w:r>
    </w:p>
    <w:tbl>
      <w:tblPr>
        <w:tblW w:type="auto" w:w="0"/>
        <w:jc w:val="center"/>
        <w:tblLayout w:type="fixed"/>
        <w:tblLook w:firstColumn="1" w:firstRow="1" w:lastColumn="0" w:lastRow="0" w:noHBand="0" w:noVBand="1" w:val="04A0"/>
      </w:tblPr>
      <w:tblGrid>
        <w:gridCol w:w="1944"/>
        <w:gridCol w:w="8136"/>
      </w:tblGrid>
      <w:tr>
        <w:tc>
          <w:tcPr>
            <w:tcW w:type="dxa" w:w="1944"/>
            <w:vAlign w:val="center"/>
            <w:shd w:fill="D9EAF7"/>
            <w:tcMar>
              <w:top w:w="100" w:type="dxa"/>
              <w:start w:w="120" w:type="dxa"/>
              <w:bottom w:w="100" w:type="dxa"/>
              <w:end w:w="120" w:type="dxa"/>
            </w:tcMar>
          </w:tcPr>
          <w:p>
            <w:r>
              <w:rPr>
                <w:b/>
              </w:rPr>
              <w:t>Objective</w:t>
            </w:r>
          </w:p>
        </w:tc>
        <w:tc>
          <w:tcPr>
            <w:tcW w:type="dxa" w:w="8136"/>
            <w:vAlign w:val="center"/>
            <w:tcMar>
              <w:top w:w="100" w:type="dxa"/>
              <w:start w:w="120" w:type="dxa"/>
              <w:bottom w:w="100" w:type="dxa"/>
              <w:end w:w="120" w:type="dxa"/>
            </w:tcMar>
          </w:tcPr>
          <w:p>
            <w:pPr>
              <w:spacing w:after="0"/>
            </w:pPr>
            <w:r>
              <w:t>Confirm new Buildings and Containments receive UUIDs automatically.</w:t>
            </w:r>
          </w:p>
        </w:tc>
      </w:tr>
      <w:tr>
        <w:tc>
          <w:tcPr>
            <w:tcW w:type="dxa" w:w="1944"/>
            <w:vAlign w:val="center"/>
            <w:shd w:fill="D9EAF7"/>
            <w:tcMar>
              <w:top w:w="100" w:type="dxa"/>
              <w:start w:w="120" w:type="dxa"/>
              <w:bottom w:w="100" w:type="dxa"/>
              <w:end w:w="120" w:type="dxa"/>
            </w:tcMar>
          </w:tcPr>
          <w:p>
            <w:r>
              <w:rPr>
                <w:b/>
              </w:rPr>
              <w:t>Preconditions</w:t>
            </w:r>
          </w:p>
        </w:tc>
        <w:tc>
          <w:tcPr>
            <w:tcW w:type="dxa" w:w="8136"/>
            <w:vAlign w:val="center"/>
            <w:tcMar>
              <w:top w:w="100" w:type="dxa"/>
              <w:start w:w="120" w:type="dxa"/>
              <w:bottom w:w="100" w:type="dxa"/>
              <w:end w:w="120" w:type="dxa"/>
            </w:tcMar>
          </w:tcPr>
          <w:p>
            <w:pPr>
              <w:spacing w:after="0"/>
            </w:pPr>
            <w:r>
              <w:t>Use a QA database where creating records is allowed. Prepare valid test data.</w:t>
            </w:r>
          </w:p>
        </w:tc>
      </w:tr>
      <w:tr>
        <w:tc>
          <w:tcPr>
            <w:tcW w:type="dxa" w:w="1944"/>
            <w:vAlign w:val="center"/>
            <w:shd w:fill="D9EAF7"/>
            <w:tcMar>
              <w:top w:w="100" w:type="dxa"/>
              <w:start w:w="120" w:type="dxa"/>
              <w:bottom w:w="100" w:type="dxa"/>
              <w:end w:w="120" w:type="dxa"/>
            </w:tcMar>
          </w:tcPr>
          <w:p>
            <w:r>
              <w:rPr>
                <w:b/>
              </w:rPr>
              <w:t>Steps</w:t>
            </w:r>
          </w:p>
        </w:tc>
        <w:tc>
          <w:tcPr>
            <w:tcW w:type="dxa" w:w="8136"/>
            <w:vAlign w:val="center"/>
            <w:tcMar>
              <w:top w:w="100" w:type="dxa"/>
              <w:start w:w="120" w:type="dxa"/>
              <w:bottom w:w="100" w:type="dxa"/>
              <w:end w:w="120" w:type="dxa"/>
            </w:tcMar>
          </w:tcPr>
          <w:p>
            <w:pPr>
              <w:spacing w:after="0"/>
            </w:pPr>
            <w:r>
              <w:t>1. Create two new Buildings using different test data.</w:t>
              <w:br/>
              <w:t>2. Open each new Building and record its UUID URL.</w:t>
              <w:br/>
              <w:t>3. Create two new Containments using different test data.</w:t>
              <w:br/>
              <w:t>4. Open each new Containment and record its UUID URL.</w:t>
              <w:br/>
              <w:t>5. Compare all generated UUIDs.</w:t>
            </w:r>
          </w:p>
        </w:tc>
      </w:tr>
      <w:tr>
        <w:tc>
          <w:tcPr>
            <w:tcW w:type="dxa" w:w="1944"/>
            <w:vAlign w:val="center"/>
            <w:shd w:fill="D9EAF7"/>
            <w:tcMar>
              <w:top w:w="100" w:type="dxa"/>
              <w:start w:w="120" w:type="dxa"/>
              <w:bottom w:w="100" w:type="dxa"/>
              <w:end w:w="120" w:type="dxa"/>
            </w:tcMar>
          </w:tcPr>
          <w:p>
            <w:r>
              <w:rPr>
                <w:b/>
              </w:rPr>
              <w:t>Expected result</w:t>
            </w:r>
          </w:p>
        </w:tc>
        <w:tc>
          <w:tcPr>
            <w:tcW w:type="dxa" w:w="8136"/>
            <w:vAlign w:val="center"/>
            <w:tcMar>
              <w:top w:w="100" w:type="dxa"/>
              <w:start w:w="120" w:type="dxa"/>
              <w:bottom w:w="100" w:type="dxa"/>
              <w:end w:w="120" w:type="dxa"/>
            </w:tcMar>
          </w:tcPr>
          <w:p>
            <w:pPr>
              <w:spacing w:after="0"/>
            </w:pPr>
            <w:r>
              <w:t>Every new record has a valid UUID. No two tested records share the same UUID. URLs do not expose BIN or Containment ID.</w:t>
            </w:r>
          </w:p>
        </w:tc>
      </w:tr>
      <w:tr>
        <w:tc>
          <w:tcPr>
            <w:tcW w:type="dxa" w:w="1944"/>
            <w:vAlign w:val="center"/>
            <w:shd w:fill="D9EAF7"/>
            <w:tcMar>
              <w:top w:w="100" w:type="dxa"/>
              <w:start w:w="120" w:type="dxa"/>
              <w:bottom w:w="100" w:type="dxa"/>
              <w:end w:w="120" w:type="dxa"/>
            </w:tcMar>
          </w:tcPr>
          <w:p>
            <w:r>
              <w:rPr>
                <w:b/>
              </w:rPr>
              <w:t>Evidence</w:t>
            </w:r>
          </w:p>
        </w:tc>
        <w:tc>
          <w:tcPr>
            <w:tcW w:type="dxa" w:w="8136"/>
            <w:vAlign w:val="center"/>
            <w:tcMar>
              <w:top w:w="100" w:type="dxa"/>
              <w:start w:w="120" w:type="dxa"/>
              <w:bottom w:w="100" w:type="dxa"/>
              <w:end w:w="120" w:type="dxa"/>
            </w:tcMar>
          </w:tcPr>
          <w:p>
            <w:pPr>
              <w:spacing w:after="0"/>
            </w:pPr>
            <w:r>
              <w:t>Record created test IDs and UUID URLs, then clean up test data according to the QA environment procedure.</w:t>
            </w:r>
          </w:p>
        </w:tc>
      </w:tr>
      <w:tr>
        <w:tc>
          <w:tcPr>
            <w:tcW w:type="dxa" w:w="1944"/>
            <w:vAlign w:val="center"/>
            <w:shd w:fill="D9EAF7"/>
            <w:tcMar>
              <w:top w:w="100" w:type="dxa"/>
              <w:start w:w="120" w:type="dxa"/>
              <w:bottom w:w="100" w:type="dxa"/>
              <w:end w:w="120" w:type="dxa"/>
            </w:tcMar>
          </w:tcPr>
          <w:p>
            <w:r>
              <w:rPr>
                <w:b/>
              </w:rPr>
              <w:t>Result</w:t>
            </w:r>
          </w:p>
        </w:tc>
        <w:tc>
          <w:tcPr>
            <w:tcW w:type="dxa" w:w="8136"/>
            <w:vAlign w:val="center"/>
            <w:tcMar>
              <w:top w:w="100" w:type="dxa"/>
              <w:start w:w="120" w:type="dxa"/>
              <w:bottom w:w="100" w:type="dxa"/>
              <w:end w:w="120" w:type="dxa"/>
            </w:tcMar>
          </w:tcPr>
          <w:p>
            <w:pPr>
              <w:spacing w:after="0"/>
            </w:pPr>
            <w:r>
              <w:t>PASS / FAIL    Tester: __________    Date: __________</w:t>
            </w:r>
          </w:p>
        </w:tc>
      </w:tr>
    </w:tbl>
    <w:p>
      <w:pPr>
        <w:spacing w:after="40"/>
      </w:pPr>
    </w:p>
    <w:p>
      <w:r>
        <w:br w:type="page"/>
      </w:r>
    </w:p>
    <w:p>
      <w:pPr>
        <w:pStyle w:val="Heading1"/>
      </w:pPr>
      <w:r>
        <w:t>Additional security and regression checks</w:t>
      </w:r>
    </w:p>
    <w:p>
      <w:r>
        <w:t>Run these checks after the eight core cases:</w:t>
      </w:r>
    </w:p>
    <w:p>
      <w:pPr>
        <w:pStyle w:val="ListBullet"/>
      </w:pPr>
      <w:r>
        <w:t>Log in as a user without View Building permission and try a known Building UUID. Access must remain denied.</w:t>
      </w:r>
    </w:p>
    <w:p>
      <w:pPr>
        <w:pStyle w:val="ListBullet"/>
      </w:pPr>
      <w:r>
        <w:t>Log in as a user without View Containment permission and try a known Containment UUID. Access must remain denied.</w:t>
      </w:r>
    </w:p>
    <w:p>
      <w:pPr>
        <w:pStyle w:val="ListBullet"/>
      </w:pPr>
      <w:r>
        <w:t>Confirm Edit, Update, Delete, History, Map, Nearest Road, Connected Records, and Emptying History still work for authorized users.</w:t>
      </w:r>
    </w:p>
    <w:p>
      <w:pPr>
        <w:pStyle w:val="ListBullet"/>
      </w:pPr>
      <w:r>
        <w:t>Check browser developer tools Network requests. Record-specific application requests should not expose BIN or Containment ID when the endpoint was included in this rollout.</w:t>
      </w:r>
    </w:p>
    <w:p>
      <w:pPr>
        <w:pStyle w:val="ListBullet"/>
      </w:pPr>
      <w:r>
        <w:t>Confirm browser Back, Refresh, copied links, and bookmarks work with UUID URLs.</w:t>
      </w:r>
    </w:p>
    <w:p>
      <w:pPr>
        <w:pStyle w:val="Heading1"/>
      </w:pPr>
      <w:r>
        <w:t>Automated test command</w:t>
      </w:r>
    </w:p>
    <w:p>
      <w:r>
        <w:t>Developers or QA engineers with terminal access can run the existing automated test:</w:t>
      </w:r>
    </w:p>
    <w:p>
      <w:pPr>
        <w:spacing w:before="60" w:after="120"/>
        <w:ind w:left="432" w:right="432"/>
      </w:pPr>
      <w:r>
        <w:rPr>
          <w:rFonts w:ascii="Consolas" w:hAnsi="Consolas"/>
          <w:sz w:val="18"/>
        </w:rPr>
        <w:t>cd E:\lang_web_app</w:t>
        <w:br/>
        <w:t>php artisan test tests/Feature/PublicIdUrlBindingTest.php</w:t>
      </w:r>
    </w:p>
    <w:p>
      <w:r>
        <w:t>A successful run displays PASS and eight passing tests. A failure displays FAIL, the test name, expected result, actual result, filename, and line number.</w:t>
      </w:r>
    </w:p>
    <w:p>
      <w:pPr>
        <w:pStyle w:val="Heading1"/>
      </w:pPr>
      <w:r>
        <w:t>Manual testing and automated testing</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1F4E78"/>
            <w:tcMar>
              <w:top w:w="100" w:type="dxa"/>
              <w:start w:w="120" w:type="dxa"/>
              <w:bottom w:w="100" w:type="dxa"/>
              <w:end w:w="120" w:type="dxa"/>
            </w:tcMar>
          </w:tcPr>
          <w:p>
            <w:r>
              <w:rPr>
                <w:b/>
                <w:color w:val="FFFFFF"/>
              </w:rPr>
              <w:t>Type</w:t>
            </w:r>
          </w:p>
        </w:tc>
        <w:tc>
          <w:tcPr>
            <w:tcW w:type="dxa" w:w="3960"/>
            <w:shd w:fill="1F4E78"/>
            <w:tcMar>
              <w:top w:w="100" w:type="dxa"/>
              <w:start w:w="120" w:type="dxa"/>
              <w:bottom w:w="100" w:type="dxa"/>
              <w:end w:w="120" w:type="dxa"/>
            </w:tcMar>
          </w:tcPr>
          <w:p>
            <w:r>
              <w:rPr>
                <w:b/>
                <w:color w:val="FFFFFF"/>
              </w:rPr>
              <w:t>Best for</w:t>
            </w:r>
          </w:p>
        </w:tc>
        <w:tc>
          <w:tcPr>
            <w:tcW w:type="dxa" w:w="3888"/>
            <w:shd w:fill="1F4E78"/>
            <w:tcMar>
              <w:top w:w="100" w:type="dxa"/>
              <w:start w:w="120" w:type="dxa"/>
              <w:bottom w:w="100" w:type="dxa"/>
              <w:end w:w="120" w:type="dxa"/>
            </w:tcMar>
          </w:tcPr>
          <w:p>
            <w:r>
              <w:rPr>
                <w:b/>
                <w:color w:val="FFFFFF"/>
              </w:rPr>
              <w:t>Stored in</w:t>
            </w:r>
          </w:p>
        </w:tc>
      </w:tr>
      <w:tr>
        <w:tc>
          <w:tcPr>
            <w:tcW w:type="dxa" w:w="2232"/>
            <w:vAlign w:val="center"/>
            <w:tcMar>
              <w:top w:w="100" w:type="dxa"/>
              <w:start w:w="120" w:type="dxa"/>
              <w:bottom w:w="100" w:type="dxa"/>
              <w:end w:w="120" w:type="dxa"/>
            </w:tcMar>
          </w:tcPr>
          <w:p>
            <w:r>
              <w:t>Manual QA cases</w:t>
            </w:r>
          </w:p>
        </w:tc>
        <w:tc>
          <w:tcPr>
            <w:tcW w:type="dxa" w:w="3960"/>
            <w:vAlign w:val="center"/>
            <w:tcMar>
              <w:top w:w="100" w:type="dxa"/>
              <w:start w:w="120" w:type="dxa"/>
              <w:bottom w:w="100" w:type="dxa"/>
              <w:end w:w="120" w:type="dxa"/>
            </w:tcMar>
          </w:tcPr>
          <w:p>
            <w:r>
              <w:t>User behavior, UI links, permissions, screenshots, regression</w:t>
            </w:r>
          </w:p>
        </w:tc>
        <w:tc>
          <w:tcPr>
            <w:tcW w:type="dxa" w:w="3888"/>
            <w:vAlign w:val="center"/>
            <w:tcMar>
              <w:top w:w="100" w:type="dxa"/>
              <w:start w:w="120" w:type="dxa"/>
              <w:bottom w:w="100" w:type="dxa"/>
              <w:end w:w="120" w:type="dxa"/>
            </w:tcMar>
          </w:tcPr>
          <w:p>
            <w:r>
              <w:t>QA test plan or test management tool</w:t>
            </w:r>
          </w:p>
        </w:tc>
      </w:tr>
      <w:tr>
        <w:tc>
          <w:tcPr>
            <w:tcW w:type="dxa" w:w="2232"/>
            <w:shd w:fill="F4F8FB"/>
            <w:vAlign w:val="center"/>
            <w:tcMar>
              <w:top w:w="100" w:type="dxa"/>
              <w:start w:w="120" w:type="dxa"/>
              <w:bottom w:w="100" w:type="dxa"/>
              <w:end w:w="120" w:type="dxa"/>
            </w:tcMar>
          </w:tcPr>
          <w:p>
            <w:r>
              <w:t>Automated feature tests</w:t>
            </w:r>
          </w:p>
        </w:tc>
        <w:tc>
          <w:tcPr>
            <w:tcW w:type="dxa" w:w="3960"/>
            <w:shd w:fill="F4F8FB"/>
            <w:vAlign w:val="center"/>
            <w:tcMar>
              <w:top w:w="100" w:type="dxa"/>
              <w:start w:w="120" w:type="dxa"/>
              <w:bottom w:w="100" w:type="dxa"/>
              <w:end w:w="120" w:type="dxa"/>
            </w:tcMar>
          </w:tcPr>
          <w:p>
            <w:r>
              <w:t>UUID format, uniqueness, route generation, binding, repeatable regression</w:t>
            </w:r>
          </w:p>
        </w:tc>
        <w:tc>
          <w:tcPr>
            <w:tcW w:type="dxa" w:w="3888"/>
            <w:shd w:fill="F4F8FB"/>
            <w:vAlign w:val="center"/>
            <w:tcMar>
              <w:top w:w="100" w:type="dxa"/>
              <w:start w:w="120" w:type="dxa"/>
              <w:bottom w:w="100" w:type="dxa"/>
              <w:end w:w="120" w:type="dxa"/>
            </w:tcMar>
          </w:tcPr>
          <w:p>
            <w:r>
              <w:t>tests/Feature/PublicIdUrlBindingTest.php</w:t>
            </w:r>
          </w:p>
        </w:tc>
      </w:tr>
    </w:tbl>
    <w:p>
      <w:pPr>
        <w:pStyle w:val="Heading1"/>
      </w:pPr>
      <w:r>
        <w:t>Defect reporting guide</w:t>
      </w:r>
    </w:p>
    <w:p>
      <w:r>
        <w:t>When a case fails, report the defect with enough information for a developer to reproduce it:</w:t>
      </w:r>
    </w:p>
    <w:p>
      <w:pPr>
        <w:pStyle w:val="ListBullet"/>
      </w:pPr>
      <w:r>
        <w:t>Short title, for example Containment Map URL exposes internal ID.</w:t>
      </w:r>
    </w:p>
    <w:p>
      <w:pPr>
        <w:pStyle w:val="ListBullet"/>
      </w:pPr>
      <w:r>
        <w:t>Environment and application version or branch.</w:t>
      </w:r>
    </w:p>
    <w:p>
      <w:pPr>
        <w:pStyle w:val="ListBullet"/>
      </w:pPr>
      <w:r>
        <w:t>User role and permissions.</w:t>
      </w:r>
    </w:p>
    <w:p>
      <w:pPr>
        <w:pStyle w:val="ListBullet"/>
      </w:pPr>
      <w:r>
        <w:t>Record used, including BIN or Containment ID as test evidence.</w:t>
      </w:r>
    </w:p>
    <w:p>
      <w:pPr>
        <w:pStyle w:val="ListBullet"/>
      </w:pPr>
      <w:r>
        <w:t>Exact steps and complete URL.</w:t>
      </w:r>
    </w:p>
    <w:p>
      <w:pPr>
        <w:pStyle w:val="ListBullet"/>
      </w:pPr>
      <w:r>
        <w:t>Expected result and actual result.</w:t>
      </w:r>
    </w:p>
    <w:p>
      <w:pPr>
        <w:pStyle w:val="ListBullet"/>
      </w:pPr>
      <w:r>
        <w:t>Screenshot, screen recording, or relevant Network response.</w:t>
      </w:r>
    </w:p>
    <w:p>
      <w:pPr>
        <w:pStyle w:val="ListBullet"/>
      </w:pPr>
      <w:r>
        <w:t>Severity guidance: a 500/database error is higher priority than a cosmetic URL issue.</w:t>
      </w:r>
    </w:p>
    <w:p>
      <w:pPr>
        <w:pStyle w:val="Heading1"/>
      </w:pPr>
      <w:r>
        <w:t>QA execution summary</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152"/>
            <w:shd w:fill="1F4E78"/>
            <w:tcMar>
              <w:top w:w="100" w:type="dxa"/>
              <w:start w:w="120" w:type="dxa"/>
              <w:bottom w:w="100" w:type="dxa"/>
              <w:end w:w="120" w:type="dxa"/>
            </w:tcMar>
          </w:tcPr>
          <w:p>
            <w:r>
              <w:rPr>
                <w:b/>
                <w:color w:val="FFFFFF"/>
              </w:rPr>
              <w:t>ID</w:t>
            </w:r>
          </w:p>
        </w:tc>
        <w:tc>
          <w:tcPr>
            <w:tcW w:type="dxa" w:w="5112"/>
            <w:shd w:fill="1F4E78"/>
            <w:tcMar>
              <w:top w:w="100" w:type="dxa"/>
              <w:start w:w="120" w:type="dxa"/>
              <w:bottom w:w="100" w:type="dxa"/>
              <w:end w:w="120" w:type="dxa"/>
            </w:tcMar>
          </w:tcPr>
          <w:p>
            <w:r>
              <w:rPr>
                <w:b/>
                <w:color w:val="FFFFFF"/>
              </w:rPr>
              <w:t>Scenario</w:t>
            </w:r>
          </w:p>
        </w:tc>
        <w:tc>
          <w:tcPr>
            <w:tcW w:type="dxa" w:w="1584"/>
            <w:shd w:fill="1F4E78"/>
            <w:tcMar>
              <w:top w:w="100" w:type="dxa"/>
              <w:start w:w="120" w:type="dxa"/>
              <w:bottom w:w="100" w:type="dxa"/>
              <w:end w:w="120" w:type="dxa"/>
            </w:tcMar>
          </w:tcPr>
          <w:p>
            <w:r>
              <w:rPr>
                <w:b/>
                <w:color w:val="FFFFFF"/>
              </w:rPr>
              <w:t>Result</w:t>
            </w:r>
          </w:p>
        </w:tc>
        <w:tc>
          <w:tcPr>
            <w:tcW w:type="dxa" w:w="2232"/>
            <w:shd w:fill="1F4E78"/>
            <w:tcMar>
              <w:top w:w="100" w:type="dxa"/>
              <w:start w:w="120" w:type="dxa"/>
              <w:bottom w:w="100" w:type="dxa"/>
              <w:end w:w="120" w:type="dxa"/>
            </w:tcMar>
          </w:tcPr>
          <w:p>
            <w:r>
              <w:rPr>
                <w:b/>
                <w:color w:val="FFFFFF"/>
              </w:rPr>
              <w:t>Defect ID</w:t>
            </w:r>
          </w:p>
        </w:tc>
      </w:tr>
      <w:tr>
        <w:tc>
          <w:tcPr>
            <w:tcW w:type="dxa" w:w="1152"/>
            <w:vAlign w:val="center"/>
            <w:tcMar>
              <w:top w:w="130" w:type="dxa"/>
              <w:start w:w="120" w:type="dxa"/>
              <w:bottom w:w="130" w:type="dxa"/>
              <w:end w:w="120" w:type="dxa"/>
            </w:tcMar>
          </w:tcPr>
          <w:p>
            <w:pPr>
              <w:jc w:val="center"/>
            </w:pPr>
            <w:r>
              <w:t>TC 01</w:t>
            </w:r>
          </w:p>
        </w:tc>
        <w:tc>
          <w:tcPr>
            <w:tcW w:type="dxa" w:w="5112"/>
            <w:vAlign w:val="center"/>
            <w:tcMar>
              <w:top w:w="130" w:type="dxa"/>
              <w:start w:w="120" w:type="dxa"/>
              <w:bottom w:w="130" w:type="dxa"/>
              <w:end w:w="120" w:type="dxa"/>
            </w:tcMar>
          </w:tcPr>
          <w:p>
            <w:r>
              <w:t>Building UUID population and uniqueness</w:t>
            </w:r>
          </w:p>
        </w:tc>
        <w:tc>
          <w:tcPr>
            <w:tcW w:type="dxa" w:w="1584"/>
            <w:vAlign w:val="center"/>
            <w:tcMar>
              <w:top w:w="130" w:type="dxa"/>
              <w:start w:w="120" w:type="dxa"/>
              <w:bottom w:w="130" w:type="dxa"/>
              <w:end w:w="120" w:type="dxa"/>
            </w:tcMar>
          </w:tcPr>
          <w:p>
            <w:pPr>
              <w:jc w:val="center"/>
            </w:pPr>
            <w:r/>
          </w:p>
        </w:tc>
        <w:tc>
          <w:tcPr>
            <w:tcW w:type="dxa" w:w="2232"/>
            <w:vAlign w:val="center"/>
            <w:tcMar>
              <w:top w:w="130" w:type="dxa"/>
              <w:start w:w="120" w:type="dxa"/>
              <w:bottom w:w="130" w:type="dxa"/>
              <w:end w:w="120" w:type="dxa"/>
            </w:tcMar>
          </w:tcPr>
          <w:p>
            <w:pPr>
              <w:jc w:val="center"/>
            </w:pPr>
            <w:r/>
          </w:p>
        </w:tc>
      </w:tr>
      <w:tr>
        <w:tc>
          <w:tcPr>
            <w:tcW w:type="dxa" w:w="1152"/>
            <w:shd w:fill="F4F8FB"/>
            <w:vAlign w:val="center"/>
            <w:tcMar>
              <w:top w:w="130" w:type="dxa"/>
              <w:start w:w="120" w:type="dxa"/>
              <w:bottom w:w="130" w:type="dxa"/>
              <w:end w:w="120" w:type="dxa"/>
            </w:tcMar>
          </w:tcPr>
          <w:p>
            <w:pPr>
              <w:jc w:val="center"/>
            </w:pPr>
            <w:r>
              <w:t>TC 02</w:t>
            </w:r>
          </w:p>
        </w:tc>
        <w:tc>
          <w:tcPr>
            <w:tcW w:type="dxa" w:w="5112"/>
            <w:shd w:fill="F4F8FB"/>
            <w:vAlign w:val="center"/>
            <w:tcMar>
              <w:top w:w="130" w:type="dxa"/>
              <w:start w:w="120" w:type="dxa"/>
              <w:bottom w:w="130" w:type="dxa"/>
              <w:end w:w="120" w:type="dxa"/>
            </w:tcMar>
          </w:tcPr>
          <w:p>
            <w:r>
              <w:t>Containment UUID population and uniqueness</w:t>
            </w:r>
          </w:p>
        </w:tc>
        <w:tc>
          <w:tcPr>
            <w:tcW w:type="dxa" w:w="1584"/>
            <w:shd w:fill="F4F8FB"/>
            <w:vAlign w:val="center"/>
            <w:tcMar>
              <w:top w:w="130" w:type="dxa"/>
              <w:start w:w="120" w:type="dxa"/>
              <w:bottom w:w="130" w:type="dxa"/>
              <w:end w:w="120" w:type="dxa"/>
            </w:tcMar>
          </w:tcPr>
          <w:p>
            <w:pPr>
              <w:jc w:val="center"/>
            </w:pPr>
            <w:r/>
          </w:p>
        </w:tc>
        <w:tc>
          <w:tcPr>
            <w:tcW w:type="dxa" w:w="2232"/>
            <w:shd w:fill="F4F8FB"/>
            <w:vAlign w:val="center"/>
            <w:tcMar>
              <w:top w:w="130" w:type="dxa"/>
              <w:start w:w="120" w:type="dxa"/>
              <w:bottom w:w="130" w:type="dxa"/>
              <w:end w:w="120" w:type="dxa"/>
            </w:tcMar>
          </w:tcPr>
          <w:p>
            <w:pPr>
              <w:jc w:val="center"/>
            </w:pPr>
            <w:r/>
          </w:p>
        </w:tc>
      </w:tr>
      <w:tr>
        <w:tc>
          <w:tcPr>
            <w:tcW w:type="dxa" w:w="1152"/>
            <w:vAlign w:val="center"/>
            <w:tcMar>
              <w:top w:w="130" w:type="dxa"/>
              <w:start w:w="120" w:type="dxa"/>
              <w:bottom w:w="130" w:type="dxa"/>
              <w:end w:w="120" w:type="dxa"/>
            </w:tcMar>
          </w:tcPr>
          <w:p>
            <w:pPr>
              <w:jc w:val="center"/>
            </w:pPr>
            <w:r>
              <w:t>TC 03</w:t>
            </w:r>
          </w:p>
        </w:tc>
        <w:tc>
          <w:tcPr>
            <w:tcW w:type="dxa" w:w="5112"/>
            <w:vAlign w:val="center"/>
            <w:tcMar>
              <w:top w:w="130" w:type="dxa"/>
              <w:start w:w="120" w:type="dxa"/>
              <w:bottom w:w="130" w:type="dxa"/>
              <w:end w:w="120" w:type="dxa"/>
            </w:tcMar>
          </w:tcPr>
          <w:p>
            <w:r>
              <w:t>Building URLs hide BIN</w:t>
            </w:r>
          </w:p>
        </w:tc>
        <w:tc>
          <w:tcPr>
            <w:tcW w:type="dxa" w:w="1584"/>
            <w:vAlign w:val="center"/>
            <w:tcMar>
              <w:top w:w="130" w:type="dxa"/>
              <w:start w:w="120" w:type="dxa"/>
              <w:bottom w:w="130" w:type="dxa"/>
              <w:end w:w="120" w:type="dxa"/>
            </w:tcMar>
          </w:tcPr>
          <w:p>
            <w:pPr>
              <w:jc w:val="center"/>
            </w:pPr>
            <w:r/>
          </w:p>
        </w:tc>
        <w:tc>
          <w:tcPr>
            <w:tcW w:type="dxa" w:w="2232"/>
            <w:vAlign w:val="center"/>
            <w:tcMar>
              <w:top w:w="130" w:type="dxa"/>
              <w:start w:w="120" w:type="dxa"/>
              <w:bottom w:w="130" w:type="dxa"/>
              <w:end w:w="120" w:type="dxa"/>
            </w:tcMar>
          </w:tcPr>
          <w:p>
            <w:pPr>
              <w:jc w:val="center"/>
            </w:pPr>
            <w:r/>
          </w:p>
        </w:tc>
      </w:tr>
      <w:tr>
        <w:tc>
          <w:tcPr>
            <w:tcW w:type="dxa" w:w="1152"/>
            <w:shd w:fill="F4F8FB"/>
            <w:vAlign w:val="center"/>
            <w:tcMar>
              <w:top w:w="130" w:type="dxa"/>
              <w:start w:w="120" w:type="dxa"/>
              <w:bottom w:w="130" w:type="dxa"/>
              <w:end w:w="120" w:type="dxa"/>
            </w:tcMar>
          </w:tcPr>
          <w:p>
            <w:pPr>
              <w:jc w:val="center"/>
            </w:pPr>
            <w:r>
              <w:t>TC 04</w:t>
            </w:r>
          </w:p>
        </w:tc>
        <w:tc>
          <w:tcPr>
            <w:tcW w:type="dxa" w:w="5112"/>
            <w:shd w:fill="F4F8FB"/>
            <w:vAlign w:val="center"/>
            <w:tcMar>
              <w:top w:w="130" w:type="dxa"/>
              <w:start w:w="120" w:type="dxa"/>
              <w:bottom w:w="130" w:type="dxa"/>
              <w:end w:w="120" w:type="dxa"/>
            </w:tcMar>
          </w:tcPr>
          <w:p>
            <w:r>
              <w:t>Containment URLs hide internal ID</w:t>
            </w:r>
          </w:p>
        </w:tc>
        <w:tc>
          <w:tcPr>
            <w:tcW w:type="dxa" w:w="1584"/>
            <w:shd w:fill="F4F8FB"/>
            <w:vAlign w:val="center"/>
            <w:tcMar>
              <w:top w:w="130" w:type="dxa"/>
              <w:start w:w="120" w:type="dxa"/>
              <w:bottom w:w="130" w:type="dxa"/>
              <w:end w:w="120" w:type="dxa"/>
            </w:tcMar>
          </w:tcPr>
          <w:p>
            <w:pPr>
              <w:jc w:val="center"/>
            </w:pPr>
            <w:r/>
          </w:p>
        </w:tc>
        <w:tc>
          <w:tcPr>
            <w:tcW w:type="dxa" w:w="2232"/>
            <w:shd w:fill="F4F8FB"/>
            <w:vAlign w:val="center"/>
            <w:tcMar>
              <w:top w:w="130" w:type="dxa"/>
              <w:start w:w="120" w:type="dxa"/>
              <w:bottom w:w="130" w:type="dxa"/>
              <w:end w:w="120" w:type="dxa"/>
            </w:tcMar>
          </w:tcPr>
          <w:p>
            <w:pPr>
              <w:jc w:val="center"/>
            </w:pPr>
            <w:r/>
          </w:p>
        </w:tc>
      </w:tr>
      <w:tr>
        <w:tc>
          <w:tcPr>
            <w:tcW w:type="dxa" w:w="1152"/>
            <w:vAlign w:val="center"/>
            <w:tcMar>
              <w:top w:w="130" w:type="dxa"/>
              <w:start w:w="120" w:type="dxa"/>
              <w:bottom w:w="130" w:type="dxa"/>
              <w:end w:w="120" w:type="dxa"/>
            </w:tcMar>
          </w:tcPr>
          <w:p>
            <w:pPr>
              <w:jc w:val="center"/>
            </w:pPr>
            <w:r>
              <w:t>TC 05</w:t>
            </w:r>
          </w:p>
        </w:tc>
        <w:tc>
          <w:tcPr>
            <w:tcW w:type="dxa" w:w="5112"/>
            <w:vAlign w:val="center"/>
            <w:tcMar>
              <w:top w:w="130" w:type="dxa"/>
              <w:start w:w="120" w:type="dxa"/>
              <w:bottom w:w="130" w:type="dxa"/>
              <w:end w:w="120" w:type="dxa"/>
            </w:tcMar>
          </w:tcPr>
          <w:p>
            <w:r>
              <w:t>Building UUID resolves correct record</w:t>
            </w:r>
          </w:p>
        </w:tc>
        <w:tc>
          <w:tcPr>
            <w:tcW w:type="dxa" w:w="1584"/>
            <w:vAlign w:val="center"/>
            <w:tcMar>
              <w:top w:w="130" w:type="dxa"/>
              <w:start w:w="120" w:type="dxa"/>
              <w:bottom w:w="130" w:type="dxa"/>
              <w:end w:w="120" w:type="dxa"/>
            </w:tcMar>
          </w:tcPr>
          <w:p>
            <w:pPr>
              <w:jc w:val="center"/>
            </w:pPr>
            <w:r/>
          </w:p>
        </w:tc>
        <w:tc>
          <w:tcPr>
            <w:tcW w:type="dxa" w:w="2232"/>
            <w:vAlign w:val="center"/>
            <w:tcMar>
              <w:top w:w="130" w:type="dxa"/>
              <w:start w:w="120" w:type="dxa"/>
              <w:bottom w:w="130" w:type="dxa"/>
              <w:end w:w="120" w:type="dxa"/>
            </w:tcMar>
          </w:tcPr>
          <w:p>
            <w:pPr>
              <w:jc w:val="center"/>
            </w:pPr>
            <w:r/>
          </w:p>
        </w:tc>
      </w:tr>
      <w:tr>
        <w:tc>
          <w:tcPr>
            <w:tcW w:type="dxa" w:w="1152"/>
            <w:shd w:fill="F4F8FB"/>
            <w:vAlign w:val="center"/>
            <w:tcMar>
              <w:top w:w="130" w:type="dxa"/>
              <w:start w:w="120" w:type="dxa"/>
              <w:bottom w:w="130" w:type="dxa"/>
              <w:end w:w="120" w:type="dxa"/>
            </w:tcMar>
          </w:tcPr>
          <w:p>
            <w:pPr>
              <w:jc w:val="center"/>
            </w:pPr>
            <w:r>
              <w:t>TC 06</w:t>
            </w:r>
          </w:p>
        </w:tc>
        <w:tc>
          <w:tcPr>
            <w:tcW w:type="dxa" w:w="5112"/>
            <w:shd w:fill="F4F8FB"/>
            <w:vAlign w:val="center"/>
            <w:tcMar>
              <w:top w:w="130" w:type="dxa"/>
              <w:start w:w="120" w:type="dxa"/>
              <w:bottom w:w="130" w:type="dxa"/>
              <w:end w:w="120" w:type="dxa"/>
            </w:tcMar>
          </w:tcPr>
          <w:p>
            <w:r>
              <w:t>Containment UUID resolves correct record</w:t>
            </w:r>
          </w:p>
        </w:tc>
        <w:tc>
          <w:tcPr>
            <w:tcW w:type="dxa" w:w="1584"/>
            <w:shd w:fill="F4F8FB"/>
            <w:vAlign w:val="center"/>
            <w:tcMar>
              <w:top w:w="130" w:type="dxa"/>
              <w:start w:w="120" w:type="dxa"/>
              <w:bottom w:w="130" w:type="dxa"/>
              <w:end w:w="120" w:type="dxa"/>
            </w:tcMar>
          </w:tcPr>
          <w:p>
            <w:pPr>
              <w:jc w:val="center"/>
            </w:pPr>
            <w:r/>
          </w:p>
        </w:tc>
        <w:tc>
          <w:tcPr>
            <w:tcW w:type="dxa" w:w="2232"/>
            <w:shd w:fill="F4F8FB"/>
            <w:vAlign w:val="center"/>
            <w:tcMar>
              <w:top w:w="130" w:type="dxa"/>
              <w:start w:w="120" w:type="dxa"/>
              <w:bottom w:w="130" w:type="dxa"/>
              <w:end w:w="120" w:type="dxa"/>
            </w:tcMar>
          </w:tcPr>
          <w:p>
            <w:pPr>
              <w:jc w:val="center"/>
            </w:pPr>
            <w:r/>
          </w:p>
        </w:tc>
      </w:tr>
      <w:tr>
        <w:tc>
          <w:tcPr>
            <w:tcW w:type="dxa" w:w="1152"/>
            <w:vAlign w:val="center"/>
            <w:tcMar>
              <w:top w:w="130" w:type="dxa"/>
              <w:start w:w="120" w:type="dxa"/>
              <w:bottom w:w="130" w:type="dxa"/>
              <w:end w:w="120" w:type="dxa"/>
            </w:tcMar>
          </w:tcPr>
          <w:p>
            <w:pPr>
              <w:jc w:val="center"/>
            </w:pPr>
            <w:r>
              <w:t>TC 07</w:t>
            </w:r>
          </w:p>
        </w:tc>
        <w:tc>
          <w:tcPr>
            <w:tcW w:type="dxa" w:w="5112"/>
            <w:vAlign w:val="center"/>
            <w:tcMar>
              <w:top w:w="130" w:type="dxa"/>
              <w:start w:w="120" w:type="dxa"/>
              <w:bottom w:w="130" w:type="dxa"/>
              <w:end w:w="120" w:type="dxa"/>
            </w:tcMar>
          </w:tcPr>
          <w:p>
            <w:r>
              <w:t>Invalid and internal values return 404</w:t>
            </w:r>
          </w:p>
        </w:tc>
        <w:tc>
          <w:tcPr>
            <w:tcW w:type="dxa" w:w="1584"/>
            <w:vAlign w:val="center"/>
            <w:tcMar>
              <w:top w:w="130" w:type="dxa"/>
              <w:start w:w="120" w:type="dxa"/>
              <w:bottom w:w="130" w:type="dxa"/>
              <w:end w:w="120" w:type="dxa"/>
            </w:tcMar>
          </w:tcPr>
          <w:p>
            <w:pPr>
              <w:jc w:val="center"/>
            </w:pPr>
            <w:r/>
          </w:p>
        </w:tc>
        <w:tc>
          <w:tcPr>
            <w:tcW w:type="dxa" w:w="2232"/>
            <w:vAlign w:val="center"/>
            <w:tcMar>
              <w:top w:w="130" w:type="dxa"/>
              <w:start w:w="120" w:type="dxa"/>
              <w:bottom w:w="130" w:type="dxa"/>
              <w:end w:w="120" w:type="dxa"/>
            </w:tcMar>
          </w:tcPr>
          <w:p>
            <w:pPr>
              <w:jc w:val="center"/>
            </w:pPr>
            <w:r/>
          </w:p>
        </w:tc>
      </w:tr>
      <w:tr>
        <w:tc>
          <w:tcPr>
            <w:tcW w:type="dxa" w:w="1152"/>
            <w:shd w:fill="F4F8FB"/>
            <w:vAlign w:val="center"/>
            <w:tcMar>
              <w:top w:w="130" w:type="dxa"/>
              <w:start w:w="120" w:type="dxa"/>
              <w:bottom w:w="130" w:type="dxa"/>
              <w:end w:w="120" w:type="dxa"/>
            </w:tcMar>
          </w:tcPr>
          <w:p>
            <w:pPr>
              <w:jc w:val="center"/>
            </w:pPr>
            <w:r>
              <w:t>TC 08</w:t>
            </w:r>
          </w:p>
        </w:tc>
        <w:tc>
          <w:tcPr>
            <w:tcW w:type="dxa" w:w="5112"/>
            <w:shd w:fill="F4F8FB"/>
            <w:vAlign w:val="center"/>
            <w:tcMar>
              <w:top w:w="130" w:type="dxa"/>
              <w:start w:w="120" w:type="dxa"/>
              <w:bottom w:w="130" w:type="dxa"/>
              <w:end w:w="120" w:type="dxa"/>
            </w:tcMar>
          </w:tcPr>
          <w:p>
            <w:r>
              <w:t>New records receive unique UUIDs</w:t>
            </w:r>
          </w:p>
        </w:tc>
        <w:tc>
          <w:tcPr>
            <w:tcW w:type="dxa" w:w="1584"/>
            <w:shd w:fill="F4F8FB"/>
            <w:vAlign w:val="center"/>
            <w:tcMar>
              <w:top w:w="130" w:type="dxa"/>
              <w:start w:w="120" w:type="dxa"/>
              <w:bottom w:w="130" w:type="dxa"/>
              <w:end w:w="120" w:type="dxa"/>
            </w:tcMar>
          </w:tcPr>
          <w:p>
            <w:pPr>
              <w:jc w:val="center"/>
            </w:pPr>
            <w:r/>
          </w:p>
        </w:tc>
        <w:tc>
          <w:tcPr>
            <w:tcW w:type="dxa" w:w="2232"/>
            <w:shd w:fill="F4F8FB"/>
            <w:vAlign w:val="center"/>
            <w:tcMar>
              <w:top w:w="130" w:type="dxa"/>
              <w:start w:w="120" w:type="dxa"/>
              <w:bottom w:w="130" w:type="dxa"/>
              <w:end w:w="120" w:type="dxa"/>
            </w:tcMar>
          </w:tcPr>
          <w:p>
            <w:pPr>
              <w:jc w:val="center"/>
            </w:pPr>
            <w:r/>
          </w:p>
        </w:tc>
      </w:tr>
    </w:tbl>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Public ID URL Binding QA Test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ID URL Binding QA Test Guide</dc:title>
  <dc:subject>Manual and automated QA scenarios for Building and Containment public IDs</dc:subject>
  <dc:creator>IMIS Revamp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