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RECOPS Indicator Reference (EQ, AE, GC, DI, PH, EDF)</w:t>
      </w:r>
    </w:p>
    <w:p>
      <w:r>
        <w:t>This guide explains what each RECOPS indicator is intended to measure and how it is calculated at a high level. Each indicator has a short interpretation and a method summary so it is easier to explain scores consistently.</w:t>
      </w:r>
    </w:p>
    <w:p>
      <w:pPr>
        <w:pStyle w:val="Heading1"/>
      </w:pPr>
      <w:r>
        <w:t>EQ Family</w:t>
      </w:r>
    </w:p>
    <w:p>
      <w:pPr>
        <w:pStyle w:val="Heading2"/>
      </w:pPr>
      <w:r>
        <w:t>CQI — Code Quality Indicator</w:t>
      </w:r>
    </w:p>
    <w:p>
      <w:r>
        <w:t>CQI summarizes maintainability, testing evidence, documentation coverage, and development practices in the repository. It is intended to reflect software engineering discipline rather than domain performance outcomes. Higher CQI usually means the codebase is easier to maintain, verify, and evolve safely.</w:t>
      </w:r>
    </w:p>
    <w:p>
      <w:r>
        <w:rPr>
          <w:b/>
        </w:rPr>
        <w:t xml:space="preserve">Method: </w:t>
      </w:r>
      <w:r>
        <w:t>Repository file and structure signals (tests, docs, CI/practice artifacts), plus code metrics from Python analysis (e.g., maintainability/complexity proxies).</w:t>
      </w:r>
    </w:p>
    <w:p>
      <w:pPr>
        <w:pStyle w:val="Heading2"/>
      </w:pPr>
      <w:r>
        <w:t>ARS — Architectural Robustness Score</w:t>
      </w:r>
    </w:p>
    <w:p>
      <w:r>
        <w:t>ARS estimates how modular, organized, and scalability-oriented the code structure appears. It checks whether architecture evidence exists in both code organization and documentation. A higher ARS suggests design choices that are less fragile under growth and change.</w:t>
      </w:r>
    </w:p>
    <w:p>
      <w:r>
        <w:rPr>
          <w:b/>
        </w:rPr>
        <w:t xml:space="preserve">Method: </w:t>
      </w:r>
      <w:r>
        <w:t>Module distribution and import-graph style analysis (when available), architecture-documentation artifacts, and scalability-related evidence from code/docs/workflows.</w:t>
      </w:r>
    </w:p>
    <w:p>
      <w:pPr>
        <w:pStyle w:val="Heading2"/>
      </w:pPr>
      <w:r>
        <w:t>PER — Performance Efficiency Rating</w:t>
      </w:r>
    </w:p>
    <w:p>
      <w:r>
        <w:t>PER captures evidence that performance is measured and engineered, not just assumed. It looks for benchmark artifacts, execution-oriented optimization signals, memory/scalability clues, and profiling behavior. The score reflects observable performance engineering maturity rather than measured runtime speed on a fixed hardware baseline.</w:t>
      </w:r>
    </w:p>
    <w:p>
      <w:r>
        <w:rPr>
          <w:b/>
        </w:rPr>
        <w:t xml:space="preserve">Method: </w:t>
      </w:r>
      <w:r>
        <w:t>Keyword/file-pattern extraction for benchmarks, profilers, sparse/parallel/accelerator signals, optional benchmark result parsing, and normalized block aggregation.</w:t>
      </w:r>
    </w:p>
    <w:p>
      <w:pPr>
        <w:pStyle w:val="Heading2"/>
      </w:pPr>
      <w:r>
        <w:t>SPS — Supply-chain Protection Score</w:t>
      </w:r>
    </w:p>
    <w:p>
      <w:r>
        <w:t>SPS measures dependency inventory quality, version pinning discipline, update automation, and vulnerability management evidence. It is intended to capture software supply-chain hygiene and reproducibility posture. Low SPS often means dependency artifacts are missing, weakly pinned, or not supported by automated maintenance signals.</w:t>
      </w:r>
    </w:p>
    <w:p>
      <w:r>
        <w:rPr>
          <w:b/>
        </w:rPr>
        <w:t xml:space="preserve">Method: </w:t>
      </w:r>
      <w:r>
        <w:t>Manifest/lockfile discovery, dependency spec parsing, recency/automation checks (e.g., bots/workflows), and optional vulnerability-tool evidence.</w:t>
      </w:r>
    </w:p>
    <w:p>
      <w:pPr>
        <w:pStyle w:val="Heading2"/>
      </w:pPr>
      <w:r>
        <w:t>SRSW — Software Reliability &amp; Stability Workmanship</w:t>
      </w:r>
    </w:p>
    <w:p>
      <w:r>
        <w:t>SRSW evaluates engineering evidence for reliability-oriented software practices. It covers error handling, recovery patterns, release-stability hygiene, and observability signals. It does not directly estimate production MTBF; it estimates how much reliability workmanship is visible in the repository.</w:t>
      </w:r>
    </w:p>
    <w:p>
      <w:r>
        <w:rPr>
          <w:b/>
        </w:rPr>
        <w:t xml:space="preserve">Method: </w:t>
      </w:r>
      <w:r>
        <w:t>Code/document keyword signals, test and release artifacts, workflow checks, and block aggregation over error/recovery/release/observability evidence.</w:t>
      </w:r>
    </w:p>
    <w:p>
      <w:pPr>
        <w:pStyle w:val="Heading1"/>
      </w:pPr>
      <w:r>
        <w:t>AE Family</w:t>
      </w:r>
    </w:p>
    <w:p>
      <w:pPr>
        <w:pStyle w:val="Heading2"/>
      </w:pPr>
      <w:r>
        <w:t>CEI — Community Engagement Index</w:t>
      </w:r>
    </w:p>
    <w:p>
      <w:r>
        <w:t>CEI measures the intensity and continuity of interaction around the project community. It tracks contributor behavior, user-side engagement proxies, and communication activity where observable. Higher CEI indicates healthier community participation dynamics rather than only popularity totals.</w:t>
      </w:r>
    </w:p>
    <w:p>
      <w:r>
        <w:rPr>
          <w:b/>
        </w:rPr>
        <w:t xml:space="preserve">Method: </w:t>
      </w:r>
      <w:r>
        <w:t>Git history contributor statistics, GitHub interaction metadata (issues/PRs/comments when available), and engagement sub-signal normalization.</w:t>
      </w:r>
    </w:p>
    <w:p>
      <w:pPr>
        <w:pStyle w:val="Heading2"/>
      </w:pPr>
      <w:r>
        <w:t>EVS — Ecosystem Vitality Score</w:t>
      </w:r>
    </w:p>
    <w:p>
      <w:r>
        <w:t>EVS estimates how embedded the project is in a wider technical and research ecosystem. It values downstream/dependent usage evidence, citation/usage traces, and integration breadth. A high EVS suggests the project connects to other tools and communities in sustained ways.</w:t>
      </w:r>
    </w:p>
    <w:p>
      <w:r>
        <w:rPr>
          <w:b/>
        </w:rPr>
        <w:t xml:space="preserve">Method: </w:t>
      </w:r>
      <w:r>
        <w:t>Registry/package evidence, repository text/citation extraction, external metadata enrichment (when available), and integration-pattern detection.</w:t>
      </w:r>
    </w:p>
    <w:p>
      <w:pPr>
        <w:pStyle w:val="Heading2"/>
      </w:pPr>
      <w:r>
        <w:t>RWIS — Real-World Impact Score</w:t>
      </w:r>
    </w:p>
    <w:p>
      <w:r>
        <w:t>RWIS reflects practical use evidence beyond repository stars. It combines documented use cases, educational use traces, and industry-adoption style indicators. The score is designed to favor concrete usage evidence over vanity metrics alone.</w:t>
      </w:r>
    </w:p>
    <w:p>
      <w:r>
        <w:rPr>
          <w:b/>
        </w:rPr>
        <w:t xml:space="preserve">Method: </w:t>
      </w:r>
      <w:r>
        <w:t>Keyword/path/file evidence in docs and repository structure for use-cases, teaching/training signals, and adoption-oriented references.</w:t>
      </w:r>
    </w:p>
    <w:p>
      <w:pPr>
        <w:pStyle w:val="Heading2"/>
      </w:pPr>
      <w:r>
        <w:t>AQS — Adoption Quality Score</w:t>
      </w:r>
    </w:p>
    <w:p>
      <w:r>
        <w:t>AQS evaluates whether adoption appears meaningful, repeated, and diverse. It captures mission relevance, repeat-use evidence, and diversity of use contexts. Higher AQS implies broader and more sustained adoption quality, not merely high traffic.</w:t>
      </w:r>
    </w:p>
    <w:p>
      <w:r>
        <w:rPr>
          <w:b/>
        </w:rPr>
        <w:t xml:space="preserve">Method: </w:t>
      </w:r>
      <w:r>
        <w:t>Mission and repeat-use keyword extraction, issue/activity persistence proxies, topic/sector diversity signals, and normalized multi-block aggregation.</w:t>
      </w:r>
    </w:p>
    <w:p>
      <w:pPr>
        <w:pStyle w:val="Heading2"/>
      </w:pPr>
      <w:r>
        <w:t>AE — Adoption &amp; Ecosystem Composite</w:t>
      </w:r>
    </w:p>
    <w:p>
      <w:r>
        <w:t>AE is the composite indicator that summarizes CEI, EVS, RWIS, and AQS. It provides a single adoption/ecosystem headline score for comparison. Interpretation should still reference the four component indicators to understand strengths and blind spots.</w:t>
      </w:r>
    </w:p>
    <w:p>
      <w:r>
        <w:rPr>
          <w:b/>
        </w:rPr>
        <w:t xml:space="preserve">Method: </w:t>
      </w:r>
      <w:r>
        <w:t>Weighted aggregation of CEI, EVS, RWIS, and AQS using the configured final aggregation method (typically weighted geometric).</w:t>
      </w:r>
    </w:p>
    <w:p>
      <w:pPr>
        <w:pStyle w:val="Heading1"/>
      </w:pPr>
      <w:r>
        <w:t>GC Family</w:t>
      </w:r>
    </w:p>
    <w:p>
      <w:pPr>
        <w:pStyle w:val="Heading2"/>
      </w:pPr>
      <w:r>
        <w:t>GOS — Governance Openness Score</w:t>
      </w:r>
    </w:p>
    <w:p>
      <w:r>
        <w:t>GOS evaluates whether project governance is transparent and participation pathways are visible. It emphasizes policy/process artifacts and public governance signals. A higher GOS indicates that decision and contribution mechanisms are easier for outsiders to understand and trust.</w:t>
      </w:r>
    </w:p>
    <w:p>
      <w:r>
        <w:rPr>
          <w:b/>
        </w:rPr>
        <w:t xml:space="preserve">Method: </w:t>
      </w:r>
      <w:r>
        <w:t>Repository governance artifact detection (policies, templates, process docs), structural governance signals, and evidence-based block aggregation.</w:t>
      </w:r>
    </w:p>
    <w:p>
      <w:pPr>
        <w:pStyle w:val="Heading2"/>
      </w:pPr>
      <w:r>
        <w:t>SCS — Scholarly Credibility Score</w:t>
      </w:r>
    </w:p>
    <w:p>
      <w:r>
        <w:t>SCS estimates scientific and methodological credibility signals in the repository. It values publication/citation traces, validation evidence, and methodological transparency artifacts. The score reflects reproducible scholarly posture, not peer-review quality by itself.</w:t>
      </w:r>
    </w:p>
    <w:p>
      <w:r>
        <w:rPr>
          <w:b/>
        </w:rPr>
        <w:t xml:space="preserve">Method: </w:t>
      </w:r>
      <w:r>
        <w:t>Citation/publication markers, validation and reproducibility artifacts, methodological documentation signals, and calibrated/normalized block scoring.</w:t>
      </w:r>
    </w:p>
    <w:p>
      <w:pPr>
        <w:pStyle w:val="Heading2"/>
      </w:pPr>
      <w:r>
        <w:t>ITI — Institutional Trust Index</w:t>
      </w:r>
    </w:p>
    <w:p>
      <w:r>
        <w:t>ITI measures trust-related signals tied to institutional presence and professional networks. It combines institution-quality proxies, professional network evidence, and track-record continuity. High ITI suggests stronger organizational legitimacy and continuity context around the project.</w:t>
      </w:r>
    </w:p>
    <w:p>
      <w:r>
        <w:rPr>
          <w:b/>
        </w:rPr>
        <w:t xml:space="preserve">Method: </w:t>
      </w:r>
      <w:r>
        <w:t>Owner/org metadata, domain/network pattern extraction, commit-history continuity and release-age style signals, then weighted aggregation.</w:t>
      </w:r>
    </w:p>
    <w:p>
      <w:pPr>
        <w:pStyle w:val="Heading2"/>
      </w:pPr>
      <w:r>
        <w:t>RVS — Reproducibility Verification Score</w:t>
      </w:r>
    </w:p>
    <w:p>
      <w:r>
        <w:t>RVS estimates whether users can reasonably reproduce claimed outputs or analyses. It checks for reproducible examples, benchmark reproducibility clues, and dataset transparency. A higher RVS typically means clearer pathways from repository artifacts to repeatable results.</w:t>
      </w:r>
    </w:p>
    <w:p>
      <w:r>
        <w:rPr>
          <w:b/>
        </w:rPr>
        <w:t xml:space="preserve">Method: </w:t>
      </w:r>
      <w:r>
        <w:t>Example/benchmark/data artifact detection, transparency markers, and reproducibility-oriented sub-block aggregation.</w:t>
      </w:r>
    </w:p>
    <w:p>
      <w:pPr>
        <w:pStyle w:val="Heading1"/>
      </w:pPr>
      <w:r>
        <w:t>DI Family</w:t>
      </w:r>
    </w:p>
    <w:p>
      <w:pPr>
        <w:pStyle w:val="Heading2"/>
      </w:pPr>
      <w:r>
        <w:t>DRS — Deployability Readiness Score</w:t>
      </w:r>
    </w:p>
    <w:p>
      <w:r>
        <w:t>DRS measures whether the software appears installable, configurable, and operationally safe enough to run. It focuses on practical setup and runtime-readiness evidence. Higher DRS indicates stronger deployment readiness from observable repository artifacts.</w:t>
      </w:r>
    </w:p>
    <w:p>
      <w:r>
        <w:rPr>
          <w:b/>
        </w:rPr>
        <w:t xml:space="preserve">Method: </w:t>
      </w:r>
      <w:r>
        <w:t>Installation/configuration documentation and files, runtime-safety pattern density, and deployment/logging evidence extraction.</w:t>
      </w:r>
    </w:p>
    <w:p>
      <w:pPr>
        <w:pStyle w:val="Heading2"/>
      </w:pPr>
      <w:r>
        <w:t>ICI — Integration Capability Index</w:t>
      </w:r>
    </w:p>
    <w:p>
      <w:r>
        <w:t>ICI estimates the project’s ability to integrate with external systems and interfaces. It emphasizes API/interface evidence, standards compatibility signals, and data-exchange breadth. A higher ICI indicates richer interoperability options in practice.</w:t>
      </w:r>
    </w:p>
    <w:p>
      <w:r>
        <w:rPr>
          <w:b/>
        </w:rPr>
        <w:t xml:space="preserve">Method: </w:t>
      </w:r>
      <w:r>
        <w:t>API/CLI/spec detection, standards/integration keyword families, and format/interface evidence from code/docs/paths.</w:t>
      </w:r>
    </w:p>
    <w:p>
      <w:pPr>
        <w:pStyle w:val="Heading2"/>
      </w:pPr>
      <w:r>
        <w:t>PFS — Platform Flexibility Score</w:t>
      </w:r>
    </w:p>
    <w:p>
      <w:r>
        <w:t>PFS measures adaptability across environments, stacks, and execution contexts. It reflects signs that the software can be configured or packaged in multiple operational modes. High PFS implies more flexibility for varied deployment constraints.</w:t>
      </w:r>
    </w:p>
    <w:p>
      <w:r>
        <w:rPr>
          <w:b/>
        </w:rPr>
        <w:t xml:space="preserve">Method: </w:t>
      </w:r>
      <w:r>
        <w:t>Cross-platform/configuration/container/packaging signals from files, workflows, and environment-related repository evidence.</w:t>
      </w:r>
    </w:p>
    <w:p>
      <w:pPr>
        <w:pStyle w:val="Heading2"/>
      </w:pPr>
      <w:r>
        <w:t>OBS — Observability Baseline Score</w:t>
      </w:r>
    </w:p>
    <w:p>
      <w:r>
        <w:t>OBS evaluates baseline observability engineering maturity. It looks for logging, metrics, health checks, and alerting evidence rather than advanced SRE maturity models. A higher OBS suggests better operational visibility support in the codebase.</w:t>
      </w:r>
    </w:p>
    <w:p>
      <w:r>
        <w:rPr>
          <w:b/>
        </w:rPr>
        <w:t xml:space="preserve">Method: </w:t>
      </w:r>
      <w:r>
        <w:t>Observability keyword/path/workflow detection and normalized aggregation across logging/metrics/health/alert evidence blocks.</w:t>
      </w:r>
    </w:p>
    <w:p>
      <w:pPr>
        <w:pStyle w:val="Heading2"/>
      </w:pPr>
      <w:r>
        <w:t>DI — Deployability &amp; Interoperability Composite</w:t>
      </w:r>
    </w:p>
    <w:p>
      <w:r>
        <w:t>DI is the composite indicator combining DRS, ICI, PFS, and OBS. It provides one headline for operational deployability plus interoperability readiness. Interpret DI together with sub-indicators because a single weak operational block can materially reduce the composite.</w:t>
      </w:r>
    </w:p>
    <w:p>
      <w:r>
        <w:rPr>
          <w:b/>
        </w:rPr>
        <w:t xml:space="preserve">Method: </w:t>
      </w:r>
      <w:r>
        <w:t>Weighted aggregation of DRS, ICI, PFS, and OBS using the configured final aggregation method.</w:t>
      </w:r>
    </w:p>
    <w:p>
      <w:pPr>
        <w:pStyle w:val="Heading1"/>
      </w:pPr>
      <w:r>
        <w:t>PH Family</w:t>
      </w:r>
    </w:p>
    <w:p>
      <w:pPr>
        <w:pStyle w:val="Heading2"/>
      </w:pPr>
      <w:r>
        <w:t>PVI — Project Vitality Index</w:t>
      </w:r>
    </w:p>
    <w:p>
      <w:r>
        <w:t>PVI measures observable project vitality over time. It reflects commit activity, release behavior, issue flow, and community-growth evidence. Higher PVI indicates stronger sustained momentum, not necessarily higher code quality.</w:t>
      </w:r>
    </w:p>
    <w:p>
      <w:r>
        <w:rPr>
          <w:b/>
        </w:rPr>
        <w:t xml:space="preserve">Method: </w:t>
      </w:r>
      <w:r>
        <w:t>Git history and tags, GitHub metadata (issues/releases/community signals), recency/volume/stability normalization, and block aggregation.</w:t>
      </w:r>
    </w:p>
    <w:p>
      <w:pPr>
        <w:pStyle w:val="Heading2"/>
      </w:pPr>
      <w:r>
        <w:t>MQS — Maintenance Quality Score</w:t>
      </w:r>
    </w:p>
    <w:p>
      <w:r>
        <w:t>MQS evaluates maintenance responsiveness and maintenance discipline. It emphasizes issue management, update consistency, and security responsiveness style evidence. A high MQS usually means maintenance operations are timely, regular, and visible.</w:t>
      </w:r>
    </w:p>
    <w:p>
      <w:r>
        <w:rPr>
          <w:b/>
        </w:rPr>
        <w:t xml:space="preserve">Method: </w:t>
      </w:r>
      <w:r>
        <w:t>Issue/PR timeline metrics, maintenance artifact recency, security-related workflow/file evidence, and weighted block aggregation.</w:t>
      </w:r>
    </w:p>
    <w:p>
      <w:pPr>
        <w:pStyle w:val="Heading2"/>
      </w:pPr>
      <w:r>
        <w:t>FCS — Funding Continuity Score</w:t>
      </w:r>
    </w:p>
    <w:p>
      <w:r>
        <w:t>FCS estimates continuity and diversity of support signals around a project. It combines institutional backing, commercial support hints, sponsorship traces, and grant continuity evidence. Higher FCS suggests more resilient backing context, though not a guarantee of future funding.</w:t>
      </w:r>
    </w:p>
    <w:p>
      <w:r>
        <w:rPr>
          <w:b/>
        </w:rPr>
        <w:t xml:space="preserve">Method: </w:t>
      </w:r>
      <w:r>
        <w:t>Repository and metadata extraction for funding/support keywords, domain/entity markers, time continuity proxies, and calibrated normalized scoring.</w:t>
      </w:r>
    </w:p>
    <w:p>
      <w:pPr>
        <w:pStyle w:val="Heading2"/>
      </w:pPr>
      <w:r>
        <w:t>MRD — Maintainer Responsiveness &amp; Discipline</w:t>
      </w:r>
    </w:p>
    <w:p>
      <w:r>
        <w:t>MRD evaluates maintainer-side responsiveness in issue and pull-request workflows. It reflects first-response behavior, review discipline, and maintainership activity presence. A higher MRD indicates stronger process responsiveness and maintainership continuity.</w:t>
      </w:r>
    </w:p>
    <w:p>
      <w:r>
        <w:rPr>
          <w:b/>
        </w:rPr>
        <w:t xml:space="preserve">Method: </w:t>
      </w:r>
      <w:r>
        <w:t>GitHub issue/PR timeline extraction, response/review delay statistics, maintainer action counting, and block aggregation with missingness handling.</w:t>
      </w:r>
    </w:p>
    <w:p>
      <w:pPr>
        <w:pStyle w:val="Heading2"/>
      </w:pPr>
      <w:r>
        <w:t>BUS_FACTOR — Contributor Concentration / Bus Factor</w:t>
      </w:r>
    </w:p>
    <w:p>
      <w:r>
        <w:t>BUS_FACTOR estimates concentration risk in contributor activity. It indicates how many contributors are needed to reach a critical share of project work. Higher normalized scores indicate lower concentration risk and better resilience to individual loss.</w:t>
      </w:r>
    </w:p>
    <w:p>
      <w:r>
        <w:rPr>
          <w:b/>
        </w:rPr>
        <w:t xml:space="preserve">Method: </w:t>
      </w:r>
      <w:r>
        <w:t>Git commit authorship distribution over a time window, concentration ratio computation, and normalized conversion to score.</w:t>
      </w:r>
    </w:p>
    <w:p>
      <w:pPr>
        <w:pStyle w:val="Heading1"/>
      </w:pPr>
      <w:r>
        <w:t>EDF Family</w:t>
      </w:r>
    </w:p>
    <w:p>
      <w:pPr>
        <w:pStyle w:val="Heading2"/>
      </w:pPr>
      <w:r>
        <w:t>ESCI — Energy System Compatibility Index</w:t>
      </w:r>
    </w:p>
    <w:p>
      <w:r>
        <w:t>ESCI measures how strongly the software appears aligned with energy-system modeling/use contexts. It checks for domain terminology, artifact structures, and compatibility-oriented evidence. Higher ESCI indicates stronger visible fit to energy-system workflows.</w:t>
      </w:r>
    </w:p>
    <w:p>
      <w:r>
        <w:rPr>
          <w:b/>
        </w:rPr>
        <w:t xml:space="preserve">Method: </w:t>
      </w:r>
      <w:r>
        <w:t>Domain keyword families, path/file evidence, and normalized block aggregation over compatibility-relevant signals.</w:t>
      </w:r>
    </w:p>
    <w:p>
      <w:pPr>
        <w:pStyle w:val="Heading2"/>
      </w:pPr>
      <w:r>
        <w:t>CPRI — Cyber-Physical Readiness Index</w:t>
      </w:r>
    </w:p>
    <w:p>
      <w:r>
        <w:t>CPRI estimates evidence of cyber-physical operation readiness in power/energy contexts. It includes hardware-interface cues, real-time evidence, and control-architecture traces. Higher CPRI suggests stronger practical alignment with cyber-physical operation requirements.</w:t>
      </w:r>
    </w:p>
    <w:p>
      <w:r>
        <w:rPr>
          <w:b/>
        </w:rPr>
        <w:t xml:space="preserve">Method: </w:t>
      </w:r>
      <w:r>
        <w:t>Interface/real-time/control family pattern counts in code/docs/paths with diversity and evidence-density normalization.</w:t>
      </w:r>
    </w:p>
    <w:p>
      <w:pPr>
        <w:pStyle w:val="Heading2"/>
      </w:pPr>
      <w:r>
        <w:t>ENSC — ENS &amp; Reliability Capability</w:t>
      </w:r>
    </w:p>
    <w:p>
      <w:r>
        <w:t>ENSC measures evidence for adequacy/reliability style capability, including ENS-related modeling signals. It reflects whether reliability and unserved-energy concepts are represented and implemented. Higher ENSC indicates stronger explicit reliability/adequacy capability evidence in the repository.</w:t>
      </w:r>
    </w:p>
    <w:p>
      <w:r>
        <w:rPr>
          <w:b/>
        </w:rPr>
        <w:t xml:space="preserve">Method: </w:t>
      </w:r>
      <w:r>
        <w:t>ENS/reliability keyword families, implementation/test path evidence, and normalized aggregation over capability sub-signals.</w:t>
      </w:r>
    </w:p>
    <w:p>
      <w:pPr>
        <w:pStyle w:val="Heading2"/>
      </w:pPr>
      <w:r>
        <w:t>EDVS — Energy Data Validation Score</w:t>
      </w:r>
    </w:p>
    <w:p>
      <w:r>
        <w:t>EDVS evaluates whether energy-domain data handling appears validated and traceable. It captures schema/validation patterns, data-quality checks, and dataset handling transparency clues. A higher EDVS indicates more visible data validation discipline for energy workflows.</w:t>
      </w:r>
    </w:p>
    <w:p>
      <w:r>
        <w:rPr>
          <w:b/>
        </w:rPr>
        <w:t xml:space="preserve">Method: </w:t>
      </w:r>
      <w:r>
        <w:t>Data validation and quality-control pattern extraction from source/docs plus transparency/format evidence aggregation.</w:t>
      </w:r>
    </w:p>
    <w:p>
      <w:pPr>
        <w:pStyle w:val="Heading2"/>
      </w:pPr>
      <w:r>
        <w:t>EDF — Energy-Domain Fitness Composite</w:t>
      </w:r>
    </w:p>
    <w:p>
      <w:r>
        <w:t>EDF is the composite indicator of energy-domain fitness, combining ESCI, CPRI, ENSC, and EDVS. It gives one headline estimate of domain suitability for energy-system use. Interpret EDF with its components, because domain fitness is multi-dimensional and non-compensatory under geometric aggregation.</w:t>
      </w:r>
    </w:p>
    <w:p>
      <w:r>
        <w:rPr>
          <w:b/>
        </w:rPr>
        <w:t xml:space="preserve">Method: </w:t>
      </w:r>
      <w:r>
        <w:t>Weighted aggregation of ESCI, CPRI, ENSC, and EDVS using the configured final aggregation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