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40"/>
          <w:szCs w:val="40"/>
        </w:rPr>
        <w:t xml:space="preserve">CO2 Emission Factors per Energy Carrier</w:t>
      </w:r>
    </w:p>
    <w:p>
      <w:pPr>
        <w:spacing w:after="400"/>
      </w:pPr>
      <w:r>
        <w:rPr>
          <w:rFonts w:ascii="Arial" w:cs="Arial" w:eastAsia="Arial" w:hAnsi="Arial"/>
          <w:color w:val="666666"/>
          <w:sz w:val="24"/>
          <w:szCs w:val="24"/>
        </w:rPr>
        <w:t xml:space="preserve">Netherlands – Reference Document for AnyLogic Energy Model</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Summary Table</w:t>
      </w:r>
    </w:p>
    <w:p>
      <w:pPr>
        <w:spacing w:after="120" w:line="276"/>
      </w:pPr>
      <w:r>
        <w:rPr>
          <w:rFonts w:ascii="Arial" w:cs="Arial" w:eastAsia="Arial" w:hAnsi="Arial"/>
          <w:sz w:val="22"/>
          <w:szCs w:val="22"/>
        </w:rPr>
        <w:t xml:space="preserve">The following table summarizes the CO2 emission factors for all energy carriers used in the AnyLogic model. Values are in kg CO2 per kWh of energy delivered. Where applicable, both direct (tank-to-wheel / combustion only) and lifecycle (well-to-wheel) values are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4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Energy Carrier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 (kg CO2/kWh)</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Lifecycle (kg CO2/kWh)</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Electricity (NL grid 2023)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0.370–0.421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Nowtricity / CBS / co2emissiefactoren.nl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Electricity (NL grid 2024)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0.328–0.370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Nowtricity / Envirometer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Methane (Natural Gas)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1+3</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RVO / IPCC 2006 / co2emissiefactoren.nl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Petroleum Fuel (Diesel)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1+3</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RVO / CE Delft 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 Grey (SMR)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Lifecycle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Council / IPCC</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Hydrogen – Green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0.000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0.015–0.030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Lifecycle</w:t>
            </w:r>
          </w:p>
        </w:tc>
        <w:tc>
          <w:tcPr>
            <w:tcW w:type="dxa" w:w="24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Hydrogen Council / IRENA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Heat (District Heating)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co2emissiefactoren.nl / Climate Neutral Group</w:t>
            </w:r>
          </w:p>
        </w:tc>
      </w:tr>
    </w:tbl>
    <w:p>
      <w:pPr>
        <w:spacing w:after="120" w:line="276"/>
      </w:pPr>
      <w:r>
        <w:rPr>
          <w:rFonts w:ascii="Arial" w:cs="Arial" w:eastAsia="Arial" w:hAnsi="Arial"/>
          <w:sz w:val="22"/>
          <w:szCs w:val="22"/>
        </w:rPr>
        <w:t xml:space="preserve">Note: For hydrogen, direct combustion emissions are zero (only water vapor). The lifecycle values include upstream production emissions.</w:t>
      </w:r>
    </w:p>
    <w:p>
      <w:r>
        <w:br w:type="page"/>
      </w:r>
    </w:p>
    <w:p>
      <w:pPr>
        <w:pStyle w:val="Heading1"/>
      </w:pPr>
      <w:r>
        <w:rPr>
          <w:rFonts w:ascii="Arial" w:cs="Arial" w:eastAsia="Arial" w:hAnsi="Arial"/>
        </w:rPr>
        <w:t xml:space="preserve">2. Electricity</w:t>
      </w:r>
    </w:p>
    <w:p>
      <w:pPr>
        <w:pStyle w:val="Heading2"/>
      </w:pPr>
      <w:r>
        <w:rPr>
          <w:rFonts w:ascii="Arial" w:cs="Arial" w:eastAsia="Arial" w:hAnsi="Arial"/>
        </w:rPr>
        <w:t xml:space="preserve">2.1 Emission Factor Description</w:t>
      </w:r>
    </w:p>
    <w:p>
      <w:pPr>
        <w:spacing w:after="120" w:line="276"/>
      </w:pPr>
      <w:r>
        <w:rPr>
          <w:rFonts w:ascii="Arial" w:cs="Arial" w:eastAsia="Arial" w:hAnsi="Arial"/>
          <w:sz w:val="22"/>
          <w:szCs w:val="22"/>
        </w:rPr>
        <w:t xml:space="preserve">The CO2 emission factor for electricity depends on the generation mix and varies over time. The Netherlands grid is decarbonizing progressively: renewable share was 23% in 2023, rising to approximately 30% in 2024. The main fossil sources are natural gas-fired power plants and coal (being phased out by 2030).</w:t>
      </w:r>
    </w:p>
    <w:p>
      <w:pPr>
        <w:spacing w:after="120" w:line="276"/>
      </w:pPr>
      <w:r>
        <w:rPr>
          <w:rFonts w:ascii="Arial" w:cs="Arial" w:eastAsia="Arial" w:hAnsi="Arial"/>
          <w:sz w:val="22"/>
          <w:szCs w:val="22"/>
        </w:rPr>
        <w:t xml:space="preserve">Two methodologies produce different values: generation-based intensity counts only domestic production emissions, while consumption-based / residual mix factors account for imports, exports, and renewable energy certificates (Guarantees of Origin).</w:t>
      </w:r>
    </w:p>
    <w:p>
      <w:pPr>
        <w:pStyle w:val="Heading2"/>
      </w:pPr>
      <w:r>
        <w:rPr>
          <w:rFonts w:ascii="Arial" w:cs="Arial" w:eastAsia="Arial" w:hAnsi="Arial"/>
        </w:rPr>
        <w:t xml:space="preserve">2.2 Values</w:t>
      </w:r>
    </w:p>
    <w:p>
      <w:pPr>
        <w:spacing w:after="120" w:line="276"/>
      </w:pPr>
      <w:r>
        <w:rPr>
          <w:rFonts w:ascii="Arial" w:cs="Arial" w:eastAsia="Arial" w:hAnsi="Arial"/>
          <w:sz w:val="22"/>
          <w:szCs w:val="22"/>
        </w:rPr>
        <w:t xml:space="preserve">Generation-based carbon intensity (2023): 0.268 kg CO2/kWh (Statista / Electricity Maps).</w:t>
      </w:r>
    </w:p>
    <w:p>
      <w:pPr>
        <w:spacing w:after="120" w:line="276"/>
      </w:pPr>
      <w:r>
        <w:rPr>
          <w:rFonts w:ascii="Arial" w:cs="Arial" w:eastAsia="Arial" w:hAnsi="Arial"/>
          <w:sz w:val="22"/>
          <w:szCs w:val="22"/>
        </w:rPr>
        <w:t xml:space="preserve">Residual mix / consumption-based factor (2023): 0.370–0.421 kg CO2eq/kWh (Envirometer / co2emissiefactoren.nl).</w:t>
      </w:r>
    </w:p>
    <w:p>
      <w:pPr>
        <w:spacing w:after="120" w:line="276"/>
      </w:pPr>
      <w:r>
        <w:rPr>
          <w:rFonts w:ascii="Arial" w:cs="Arial" w:eastAsia="Arial" w:hAnsi="Arial"/>
          <w:sz w:val="22"/>
          <w:szCs w:val="22"/>
        </w:rPr>
        <w:t xml:space="preserve">For 2024, the generation-based intensity dropped to approximately 0.220 kg CO2/kWh due to increased renewable capacity and reduced coal use.</w:t>
      </w:r>
    </w:p>
    <w:p>
      <w:pPr>
        <w:spacing w:after="120" w:line="276"/>
      </w:pPr>
      <w:r>
        <w:rPr>
          <w:rFonts w:ascii="Arial" w:cs="Arial" w:eastAsia="Arial" w:hAnsi="Arial"/>
          <w:sz w:val="22"/>
          <w:szCs w:val="22"/>
        </w:rPr>
        <w:t xml:space="preserve">Recommended default for model: 0.370 kg CO2/kWh (2023 residual mix) or 0.328 kg CO2/kWh (2024).</w:t>
      </w:r>
    </w:p>
    <w:p>
      <w:pPr>
        <w:pStyle w:val="Heading2"/>
      </w:pPr>
      <w:r>
        <w:rPr>
          <w:rFonts w:ascii="Arial" w:cs="Arial" w:eastAsia="Arial" w:hAnsi="Arial"/>
        </w:rPr>
        <w:t xml:space="preserve">2.3 Sources</w:t>
      </w:r>
    </w:p>
    <w:p>
      <w:pPr>
        <w:spacing w:after="80"/>
      </w:pPr>
      <w:hyperlink w:history="1" r:id="rIdfngup0tortbz2is4dyoc4">
        <w:r>
          <w:rPr>
            <w:rStyle w:val="Hyperlink"/>
            <w:rFonts w:ascii="Arial" w:cs="Arial" w:eastAsia="Arial" w:hAnsi="Arial"/>
            <w:sz w:val="20"/>
            <w:szCs w:val="20"/>
          </w:rPr>
          <w:t xml:space="preserve">Nowtricity – CO2 emissions per kWh Netherlands</w:t>
        </w:r>
      </w:hyperlink>
    </w:p>
    <w:p>
      <w:pPr>
        <w:spacing w:after="80"/>
      </w:pPr>
      <w:hyperlink w:history="1" r:id="rIdzbj0uebekq3td6x7zizxs">
        <w:r>
          <w:rPr>
            <w:rStyle w:val="Hyperlink"/>
            <w:rFonts w:ascii="Arial" w:cs="Arial" w:eastAsia="Arial" w:hAnsi="Arial"/>
            <w:sz w:val="20"/>
            <w:szCs w:val="20"/>
          </w:rPr>
          <w:t xml:space="preserve">Statista – Netherlands power sector carbon intensity 2023</w:t>
        </w:r>
      </w:hyperlink>
    </w:p>
    <w:p>
      <w:pPr>
        <w:spacing w:after="80"/>
      </w:pPr>
      <w:hyperlink w:history="1" r:id="rIdscpff2ymho0ywmooxc1yd">
        <w:r>
          <w:rPr>
            <w:rStyle w:val="Hyperlink"/>
            <w:rFonts w:ascii="Arial" w:cs="Arial" w:eastAsia="Arial" w:hAnsi="Arial"/>
            <w:sz w:val="20"/>
            <w:szCs w:val="20"/>
          </w:rPr>
          <w:t xml:space="preserve">co2emissiefactoren.nl – Dutch CO2 emission factors database</w:t>
        </w:r>
      </w:hyperlink>
    </w:p>
    <w:p>
      <w:pPr>
        <w:spacing w:after="80"/>
      </w:pPr>
      <w:hyperlink w:history="1" r:id="rIdhtuqsiczlvurwwvgochys">
        <w:r>
          <w:rPr>
            <w:rStyle w:val="Hyperlink"/>
            <w:rFonts w:ascii="Arial" w:cs="Arial" w:eastAsia="Arial" w:hAnsi="Arial"/>
            <w:sz w:val="20"/>
            <w:szCs w:val="20"/>
          </w:rPr>
          <w:t xml:space="preserve">Envirometer – Yearly update CO2 factors 2024</w:t>
        </w:r>
      </w:hyperlink>
    </w:p>
    <w:p>
      <w:pPr>
        <w:spacing w:after="80"/>
      </w:pPr>
      <w:hyperlink w:history="1" r:id="rIdvk189bqt2xvzmgnjtdguz">
        <w:r>
          <w:rPr>
            <w:rStyle w:val="Hyperlink"/>
            <w:rFonts w:ascii="Arial" w:cs="Arial" w:eastAsia="Arial" w:hAnsi="Arial"/>
            <w:sz w:val="20"/>
            <w:szCs w:val="20"/>
          </w:rPr>
          <w:t xml:space="preserve">Climatiq – NL Grid Emission Factor</w:t>
        </w:r>
      </w:hyperlink>
    </w:p>
    <w:p>
      <w:r>
        <w:br w:type="page"/>
      </w:r>
    </w:p>
    <w:p>
      <w:pPr>
        <w:pStyle w:val="Heading1"/>
      </w:pPr>
      <w:r>
        <w:rPr>
          <w:rFonts w:ascii="Arial" w:cs="Arial" w:eastAsia="Arial" w:hAnsi="Arial"/>
        </w:rPr>
        <w:t xml:space="preserve">3. Methane (Natural Gas)</w:t>
      </w:r>
    </w:p>
    <w:p>
      <w:pPr>
        <w:pStyle w:val="Heading2"/>
      </w:pPr>
      <w:r>
        <w:rPr>
          <w:rFonts w:ascii="Arial" w:cs="Arial" w:eastAsia="Arial" w:hAnsi="Arial"/>
        </w:rPr>
        <w:t xml:space="preserve">3.1 Emission Factor Description</w:t>
      </w:r>
    </w:p>
    <w:p>
      <w:pPr>
        <w:spacing w:after="120" w:line="276"/>
      </w:pPr>
      <w:r>
        <w:rPr>
          <w:rFonts w:ascii="Arial" w:cs="Arial" w:eastAsia="Arial" w:hAnsi="Arial"/>
          <w:sz w:val="22"/>
          <w:szCs w:val="22"/>
        </w:rPr>
        <w:t xml:space="preserve">Natural gas combustion produces approximately 56.1 kg CO2 per GJ (IPCC 2006 default for natural gas). This translates to 0.202 kg CO2/kWh for direct combustion only. When upstream emissions (extraction, processing, transport, methane leakage) are included, the well-to-meter factor rises to approximately 0.244 kg CO2eq/kWh.</w:t>
      </w:r>
    </w:p>
    <w:p>
      <w:pPr>
        <w:spacing w:after="120" w:line="276"/>
      </w:pPr>
      <w:r>
        <w:rPr>
          <w:rFonts w:ascii="Arial" w:cs="Arial" w:eastAsia="Arial" w:hAnsi="Arial"/>
          <w:sz w:val="22"/>
          <w:szCs w:val="22"/>
        </w:rPr>
        <w:t xml:space="preserve">The Dutch co2emissiefactoren.nl database uses 1.884 kg CO2/m³ as the direct combustion factor for Dutch natural gas, which equals 0.193 kg CO2/kWh when using 9.769 kWh/m³ Groningen-quality gas.</w:t>
      </w:r>
    </w:p>
    <w:p>
      <w:pPr>
        <w:pStyle w:val="Heading2"/>
      </w:pPr>
      <w:r>
        <w:rPr>
          <w:rFonts w:ascii="Arial" w:cs="Arial" w:eastAsia="Arial" w:hAnsi="Arial"/>
        </w:rPr>
        <w:t xml:space="preserve">3.2 Values</w:t>
      </w:r>
    </w:p>
    <w:p>
      <w:pPr>
        <w:spacing w:after="120" w:line="276"/>
      </w:pPr>
      <w:r>
        <w:rPr>
          <w:rFonts w:ascii="Arial" w:cs="Arial" w:eastAsia="Arial" w:hAnsi="Arial"/>
          <w:sz w:val="22"/>
          <w:szCs w:val="22"/>
        </w:rPr>
        <w:t xml:space="preserve">Direct combustion: 0.202 kg CO2/kWh (IPCC 2006 Guidelines, default for natural gas).</w:t>
      </w:r>
    </w:p>
    <w:p>
      <w:pPr>
        <w:spacing w:after="120" w:line="276"/>
      </w:pPr>
      <w:r>
        <w:rPr>
          <w:rFonts w:ascii="Arial" w:cs="Arial" w:eastAsia="Arial" w:hAnsi="Arial"/>
          <w:sz w:val="22"/>
          <w:szCs w:val="22"/>
        </w:rPr>
        <w:t xml:space="preserve">Well-to-meter (lifecycle): 0.244 kg CO2eq/kWh (includes upstream emissions; Climate Neutral Group 2021 review).</w:t>
      </w:r>
    </w:p>
    <w:p>
      <w:pPr>
        <w:spacing w:after="120" w:line="276"/>
      </w:pPr>
      <w:r>
        <w:rPr>
          <w:rFonts w:ascii="Arial" w:cs="Arial" w:eastAsia="Arial" w:hAnsi="Arial"/>
          <w:sz w:val="22"/>
          <w:szCs w:val="22"/>
        </w:rPr>
        <w:t xml:space="preserve">Dutch standard: 1.884 kg CO2/m³ direct = 0.193 kg CO2/kWh (RVO Netherlands list of fuels, January 2024).</w:t>
      </w:r>
    </w:p>
    <w:p>
      <w:pPr>
        <w:spacing w:after="120" w:line="276"/>
      </w:pPr>
      <w:r>
        <w:rPr>
          <w:rFonts w:ascii="Arial" w:cs="Arial" w:eastAsia="Arial" w:hAnsi="Arial"/>
          <w:sz w:val="22"/>
          <w:szCs w:val="22"/>
        </w:rPr>
        <w:t xml:space="preserve">Recommended default for model: 0.202 kg CO2/kWh (direct) or 0.244 kg CO2eq/kWh (lifecycle).</w:t>
      </w:r>
    </w:p>
    <w:p>
      <w:pPr>
        <w:pStyle w:val="Heading2"/>
      </w:pPr>
      <w:r>
        <w:rPr>
          <w:rFonts w:ascii="Arial" w:cs="Arial" w:eastAsia="Arial" w:hAnsi="Arial"/>
        </w:rPr>
        <w:t xml:space="preserve">3.3 Sources</w:t>
      </w:r>
    </w:p>
    <w:p>
      <w:pPr>
        <w:spacing w:after="80"/>
      </w:pPr>
      <w:hyperlink w:history="1" r:id="rIdvfnz7q4kvfrcd7wcrxg4q">
        <w:r>
          <w:rPr>
            <w:rStyle w:val="Hyperlink"/>
            <w:rFonts w:ascii="Arial" w:cs="Arial" w:eastAsia="Arial" w:hAnsi="Arial"/>
            <w:sz w:val="20"/>
            <w:szCs w:val="20"/>
          </w:rPr>
          <w:t xml:space="preserve">RVO – NL list of fuels and standard CO2 emission factors (Jan 2024)</w:t>
        </w:r>
      </w:hyperlink>
    </w:p>
    <w:p>
      <w:pPr>
        <w:spacing w:after="80"/>
      </w:pPr>
      <w:hyperlink w:history="1" r:id="rIdg41igzfozo1s3ugpc-k_7">
        <w:r>
          <w:rPr>
            <w:rStyle w:val="Hyperlink"/>
            <w:rFonts w:ascii="Arial" w:cs="Arial" w:eastAsia="Arial" w:hAnsi="Arial"/>
            <w:sz w:val="20"/>
            <w:szCs w:val="20"/>
          </w:rPr>
          <w:t xml:space="preserve">RVO – NL list of fuels (Jan 2025)</w:t>
        </w:r>
      </w:hyperlink>
    </w:p>
    <w:p>
      <w:pPr>
        <w:spacing w:after="80"/>
      </w:pPr>
      <w:hyperlink w:history="1" r:id="rIdnaeeyhhc7x_elpzc-r-dr">
        <w:r>
          <w:rPr>
            <w:rStyle w:val="Hyperlink"/>
            <w:rFonts w:ascii="Arial" w:cs="Arial" w:eastAsia="Arial" w:hAnsi="Arial"/>
            <w:sz w:val="20"/>
            <w:szCs w:val="20"/>
          </w:rPr>
          <w:t xml:space="preserve">IPCC 2006 Guidelines – Stationary Combustion</w:t>
        </w:r>
      </w:hyperlink>
    </w:p>
    <w:p>
      <w:pPr>
        <w:spacing w:after="80"/>
      </w:pPr>
      <w:hyperlink w:history="1" r:id="rIdccvi2q2-zjxmzpe8wmsuv">
        <w:r>
          <w:rPr>
            <w:rStyle w:val="Hyperlink"/>
            <w:rFonts w:ascii="Arial" w:cs="Arial" w:eastAsia="Arial" w:hAnsi="Arial"/>
            <w:sz w:val="20"/>
            <w:szCs w:val="20"/>
          </w:rPr>
          <w:t xml:space="preserve">Climate Neutral Group – Review of Emission Factors 2021</w:t>
        </w:r>
      </w:hyperlink>
    </w:p>
    <w:p>
      <w:r>
        <w:br w:type="page"/>
      </w:r>
    </w:p>
    <w:p>
      <w:pPr>
        <w:pStyle w:val="Heading1"/>
      </w:pPr>
      <w:r>
        <w:rPr>
          <w:rFonts w:ascii="Arial" w:cs="Arial" w:eastAsia="Arial" w:hAnsi="Arial"/>
        </w:rPr>
        <w:t xml:space="preserve">4. Petroleum Fuel (Diesel)</w:t>
      </w:r>
    </w:p>
    <w:p>
      <w:pPr>
        <w:pStyle w:val="Heading2"/>
      </w:pPr>
      <w:r>
        <w:rPr>
          <w:rFonts w:ascii="Arial" w:cs="Arial" w:eastAsia="Arial" w:hAnsi="Arial"/>
        </w:rPr>
        <w:t xml:space="preserve">4.1 Emission Factor Description</w:t>
      </w:r>
    </w:p>
    <w:p>
      <w:pPr>
        <w:spacing w:after="120" w:line="276"/>
      </w:pPr>
      <w:r>
        <w:rPr>
          <w:rFonts w:ascii="Arial" w:cs="Arial" w:eastAsia="Arial" w:hAnsi="Arial"/>
          <w:sz w:val="22"/>
          <w:szCs w:val="22"/>
        </w:rPr>
        <w:t xml:space="preserve">Diesel combustion produces approximately 74.1 kg CO2 per GJ (IPCC 2006 default for gas/diesel oil). Given diesel’s lower heating value of approximately 35.8 MJ/liter (9.94 kWh/liter), this translates to a direct combustion factor of about 0.264 kg CO2/kWh.</w:t>
      </w:r>
    </w:p>
    <w:p>
      <w:pPr>
        <w:spacing w:after="120" w:line="276"/>
      </w:pPr>
      <w:r>
        <w:rPr>
          <w:rFonts w:ascii="Arial" w:cs="Arial" w:eastAsia="Arial" w:hAnsi="Arial"/>
          <w:sz w:val="22"/>
          <w:szCs w:val="22"/>
        </w:rPr>
        <w:t xml:space="preserve">The well-to-wheel lifecycle factor includes crude oil extraction, refining, and transport, adding roughly 15–20% to the direct combustion value. CE Delft’s STREAM methodology estimates the full lifecycle at approximately 0.312 kg CO2eq/kWh for road diesel in the Netherlands.</w:t>
      </w:r>
    </w:p>
    <w:p>
      <w:pPr>
        <w:pStyle w:val="Heading2"/>
      </w:pPr>
      <w:r>
        <w:rPr>
          <w:rFonts w:ascii="Arial" w:cs="Arial" w:eastAsia="Arial" w:hAnsi="Arial"/>
        </w:rPr>
        <w:t xml:space="preserve">4.2 Values</w:t>
      </w:r>
    </w:p>
    <w:p>
      <w:pPr>
        <w:spacing w:after="120" w:line="276"/>
      </w:pPr>
      <w:r>
        <w:rPr>
          <w:rFonts w:ascii="Arial" w:cs="Arial" w:eastAsia="Arial" w:hAnsi="Arial"/>
          <w:sz w:val="22"/>
          <w:szCs w:val="22"/>
        </w:rPr>
        <w:t xml:space="preserve">Direct combustion (tank-to-wheel): 0.264 kg CO2/kWh (IPCC 2006; 74.1 kg CO2/GJ).</w:t>
      </w:r>
    </w:p>
    <w:p>
      <w:pPr>
        <w:spacing w:after="120" w:line="276"/>
      </w:pPr>
      <w:r>
        <w:rPr>
          <w:rFonts w:ascii="Arial" w:cs="Arial" w:eastAsia="Arial" w:hAnsi="Arial"/>
          <w:sz w:val="22"/>
          <w:szCs w:val="22"/>
        </w:rPr>
        <w:t xml:space="preserve">Well-to-wheel lifecycle: 0.312 kg CO2eq/kWh (CE Delft STREAM 2020; includes upstream).</w:t>
      </w:r>
    </w:p>
    <w:p>
      <w:pPr>
        <w:spacing w:after="120" w:line="276"/>
      </w:pPr>
      <w:r>
        <w:rPr>
          <w:rFonts w:ascii="Arial" w:cs="Arial" w:eastAsia="Arial" w:hAnsi="Arial"/>
          <w:sz w:val="22"/>
          <w:szCs w:val="22"/>
        </w:rPr>
        <w:t xml:space="preserve">Per liter: 2.63 kg CO2/liter direct, 3.10 kg CO2eq/liter lifecycle.</w:t>
      </w:r>
    </w:p>
    <w:p>
      <w:pPr>
        <w:spacing w:after="120" w:line="276"/>
      </w:pPr>
      <w:r>
        <w:rPr>
          <w:rFonts w:ascii="Arial" w:cs="Arial" w:eastAsia="Arial" w:hAnsi="Arial"/>
          <w:sz w:val="22"/>
          <w:szCs w:val="22"/>
        </w:rPr>
        <w:t xml:space="preserve">Recommended default for model: 0.264 kg CO2/kWh (direct) or 0.312 kg CO2eq/kWh (lifecycle).</w:t>
      </w:r>
    </w:p>
    <w:p>
      <w:pPr>
        <w:pStyle w:val="Heading2"/>
      </w:pPr>
      <w:r>
        <w:rPr>
          <w:rFonts w:ascii="Arial" w:cs="Arial" w:eastAsia="Arial" w:hAnsi="Arial"/>
        </w:rPr>
        <w:t xml:space="preserve">4.3 Sources</w:t>
      </w:r>
    </w:p>
    <w:p>
      <w:pPr>
        <w:spacing w:after="80"/>
      </w:pPr>
      <w:hyperlink w:history="1" r:id="rIdxppz0hkpvuzxsoizmxdsm">
        <w:r>
          <w:rPr>
            <w:rStyle w:val="Hyperlink"/>
            <w:rFonts w:ascii="Arial" w:cs="Arial" w:eastAsia="Arial" w:hAnsi="Arial"/>
            <w:sz w:val="20"/>
            <w:szCs w:val="20"/>
          </w:rPr>
          <w:t xml:space="preserve">RVO – NL list of fuels and standard CO2 emission factors (Jan 2024)</w:t>
        </w:r>
      </w:hyperlink>
    </w:p>
    <w:p>
      <w:pPr>
        <w:spacing w:after="80"/>
      </w:pPr>
      <w:hyperlink w:history="1" r:id="rIdhtpy1y2_hotecz8sptgzg">
        <w:r>
          <w:rPr>
            <w:rStyle w:val="Hyperlink"/>
            <w:rFonts w:ascii="Arial" w:cs="Arial" w:eastAsia="Arial" w:hAnsi="Arial"/>
            <w:sz w:val="20"/>
            <w:szCs w:val="20"/>
          </w:rPr>
          <w:t xml:space="preserve">CE Delft – STREAM Freight Transport 2020</w:t>
        </w:r>
      </w:hyperlink>
    </w:p>
    <w:p>
      <w:pPr>
        <w:spacing w:after="80"/>
      </w:pPr>
      <w:hyperlink w:history="1" r:id="rIdheyg62d3zjhiisi6i0h7b">
        <w:r>
          <w:rPr>
            <w:rStyle w:val="Hyperlink"/>
            <w:rFonts w:ascii="Arial" w:cs="Arial" w:eastAsia="Arial" w:hAnsi="Arial"/>
            <w:sz w:val="20"/>
            <w:szCs w:val="20"/>
          </w:rPr>
          <w:t xml:space="preserve">CE Delft – Methodology GHG Efficiency Transport Modes</w:t>
        </w:r>
      </w:hyperlink>
    </w:p>
    <w:p>
      <w:pPr>
        <w:spacing w:after="80"/>
      </w:pPr>
      <w:hyperlink w:history="1" r:id="rIdpzshfquoaexr2anqtbtpa">
        <w:r>
          <w:rPr>
            <w:rStyle w:val="Hyperlink"/>
            <w:rFonts w:ascii="Arial" w:cs="Arial" w:eastAsia="Arial" w:hAnsi="Arial"/>
            <w:sz w:val="20"/>
            <w:szCs w:val="20"/>
          </w:rPr>
          <w:t xml:space="preserve">IPCC 2006 Guidelines – Stationary Combustion</w:t>
        </w:r>
      </w:hyperlink>
    </w:p>
    <w:p>
      <w:r>
        <w:br w:type="page"/>
      </w:r>
    </w:p>
    <w:p>
      <w:pPr>
        <w:pStyle w:val="Heading1"/>
      </w:pPr>
      <w:r>
        <w:rPr>
          <w:rFonts w:ascii="Arial" w:cs="Arial" w:eastAsia="Arial" w:hAnsi="Arial"/>
        </w:rPr>
        <w:t xml:space="preserve">5. Hydrogen</w:t>
      </w:r>
    </w:p>
    <w:p>
      <w:pPr>
        <w:pStyle w:val="Heading2"/>
      </w:pPr>
      <w:r>
        <w:rPr>
          <w:rFonts w:ascii="Arial" w:cs="Arial" w:eastAsia="Arial" w:hAnsi="Arial"/>
        </w:rPr>
        <w:t xml:space="preserve">5.1 Emission Factor Description</w:t>
      </w:r>
    </w:p>
    <w:p>
      <w:pPr>
        <w:spacing w:after="120" w:line="276"/>
      </w:pPr>
      <w:r>
        <w:rPr>
          <w:rFonts w:ascii="Arial" w:cs="Arial" w:eastAsia="Arial" w:hAnsi="Arial"/>
          <w:sz w:val="22"/>
          <w:szCs w:val="22"/>
        </w:rPr>
        <w:t xml:space="preserve">Hydrogen combustion or fuel cell use produces only water vapor – zero direct CO2 emissions. However, the lifecycle emissions depend entirely on the production method. Grey hydrogen (SMR) has significant upstream emissions from natural gas reforming. Green hydrogen (renewable electrolysis) has very low lifecycle emissions.</w:t>
      </w:r>
    </w:p>
    <w:p>
      <w:pPr>
        <w:pStyle w:val="Heading2"/>
      </w:pPr>
      <w:r>
        <w:rPr>
          <w:rFonts w:ascii="Arial" w:cs="Arial" w:eastAsia="Arial" w:hAnsi="Arial"/>
        </w:rPr>
        <w:t xml:space="preserve">5.2 Grey Hydrogen (Steam Methane Reforming)</w:t>
      </w:r>
    </w:p>
    <w:p>
      <w:pPr>
        <w:spacing w:after="120" w:line="276"/>
      </w:pPr>
      <w:r>
        <w:rPr>
          <w:rFonts w:ascii="Arial" w:cs="Arial" w:eastAsia="Arial" w:hAnsi="Arial"/>
          <w:sz w:val="22"/>
          <w:szCs w:val="22"/>
        </w:rPr>
        <w:t xml:space="preserve">SMR produces approximately 9–11 kg CO2 per kg H2, with the Hydrogen Council citing 10 kg CO2/kg H2 as a representative value. Converting: 10 kg CO2 / 33.33 kWh = 0.300 kg CO2/kWh (lifecycle). This includes both the CO2 from the reforming reaction itself and the energy used to drive the process.</w:t>
      </w:r>
    </w:p>
    <w:p>
      <w:pPr>
        <w:spacing w:after="120" w:line="276"/>
      </w:pPr>
      <w:r>
        <w:rPr>
          <w:rFonts w:ascii="Arial" w:cs="Arial" w:eastAsia="Arial" w:hAnsi="Arial"/>
          <w:sz w:val="22"/>
          <w:szCs w:val="22"/>
        </w:rPr>
        <w:t xml:space="preserve">Blue hydrogen (SMR with CCS at 90% capture rate) reduces this to approximately 1–2 kg CO2/kg H2 = 0.030–0.060 kg CO2/kWh.</w:t>
      </w:r>
    </w:p>
    <w:p>
      <w:pPr>
        <w:pStyle w:val="Heading2"/>
      </w:pPr>
      <w:r>
        <w:rPr>
          <w:rFonts w:ascii="Arial" w:cs="Arial" w:eastAsia="Arial" w:hAnsi="Arial"/>
        </w:rPr>
        <w:t xml:space="preserve">5.3 Green Hydrogen (Renewable Electrolysis)</w:t>
      </w:r>
    </w:p>
    <w:p>
      <w:pPr>
        <w:spacing w:after="120" w:line="276"/>
      </w:pPr>
      <w:r>
        <w:rPr>
          <w:rFonts w:ascii="Arial" w:cs="Arial" w:eastAsia="Arial" w:hAnsi="Arial"/>
          <w:sz w:val="22"/>
          <w:szCs w:val="22"/>
        </w:rPr>
        <w:t xml:space="preserve">When powered by dedicated renewable electricity (wind or solar), lifecycle emissions are 0.5–1.0 kg CO2/kg H2 = 0.015–0.030 kg CO2/kWh. These residual emissions come from manufacturing the electrolyser, building the renewable generation facility, and water supply. If powered by grid electricity, emissions scale with the grid carbon intensity and can be substantial.</w:t>
      </w:r>
    </w:p>
    <w:p>
      <w:pPr>
        <w:pStyle w:val="Heading2"/>
      </w:pPr>
      <w:r>
        <w:rPr>
          <w:rFonts w:ascii="Arial" w:cs="Arial" w:eastAsia="Arial" w:hAnsi="Arial"/>
        </w:rPr>
        <w:t xml:space="preserve">5.4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kg CO2/kg H2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kg CO2/kWh</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Grey (SMR, no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9–11 (default: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Council 2021; IPCC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 (SMR + CCS 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0.030–0.060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Hydrogen Council 2021</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Green (wind electrolysis)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0.5–1.0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0.015–0.030</w:t>
            </w:r>
          </w:p>
        </w:tc>
        <w:tc>
          <w:tcPr>
            <w:tcW w:type="dxa" w:w="3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Hydrogen Council 2021; IRENA</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Green (solar electrolysis)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0.030</w:t>
            </w:r>
          </w:p>
        </w:tc>
        <w:tc>
          <w:tcPr>
            <w:tcW w:type="dxa" w:w="3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RSC Green Chemistry LCA 2024</w:t>
            </w:r>
          </w:p>
        </w:tc>
      </w:tr>
    </w:tbl>
    <w:p>
      <w:pPr>
        <w:spacing w:after="120" w:line="276"/>
      </w:pPr>
      <w:r>
        <w:rPr>
          <w:rFonts w:ascii="Arial" w:cs="Arial" w:eastAsia="Arial" w:hAnsi="Arial"/>
          <w:sz w:val="22"/>
          <w:szCs w:val="22"/>
        </w:rPr>
        <w:t xml:space="preserve">Recommended defaults: Grey = 0.300 kg CO2/kWh; Green = 0.020 kg CO2/kWh (wind-based).</w:t>
      </w:r>
    </w:p>
    <w:p>
      <w:pPr>
        <w:pStyle w:val="Heading2"/>
      </w:pPr>
      <w:r>
        <w:rPr>
          <w:rFonts w:ascii="Arial" w:cs="Arial" w:eastAsia="Arial" w:hAnsi="Arial"/>
        </w:rPr>
        <w:t xml:space="preserve">5.5 Sources</w:t>
      </w:r>
    </w:p>
    <w:p>
      <w:pPr>
        <w:spacing w:after="80"/>
      </w:pPr>
      <w:hyperlink w:history="1" r:id="rIdxzttafy-jwuyey7ctmllh">
        <w:r>
          <w:rPr>
            <w:rStyle w:val="Hyperlink"/>
            <w:rFonts w:ascii="Arial" w:cs="Arial" w:eastAsia="Arial" w:hAnsi="Arial"/>
            <w:sz w:val="20"/>
            <w:szCs w:val="20"/>
          </w:rPr>
          <w:t xml:space="preserve">Hydrogen Council – Decarbonization Pathways LCA (Jan 2021)</w:t>
        </w:r>
      </w:hyperlink>
    </w:p>
    <w:p>
      <w:pPr>
        <w:spacing w:after="80"/>
      </w:pPr>
      <w:hyperlink w:history="1" r:id="rId02rg2d8iyqnmxppfqe8cj">
        <w:r>
          <w:rPr>
            <w:rStyle w:val="Hyperlink"/>
            <w:rFonts w:ascii="Arial" w:cs="Arial" w:eastAsia="Arial" w:hAnsi="Arial"/>
            <w:sz w:val="20"/>
            <w:szCs w:val="20"/>
          </w:rPr>
          <w:t xml:space="preserve">IEA – Emissions Intensity of H2 Production Routes</w:t>
        </w:r>
      </w:hyperlink>
    </w:p>
    <w:p>
      <w:pPr>
        <w:spacing w:after="80"/>
      </w:pPr>
      <w:hyperlink w:history="1" r:id="rIdsm02xccpuspirqwmpnmov">
        <w:r>
          <w:rPr>
            <w:rStyle w:val="Hyperlink"/>
            <w:rFonts w:ascii="Arial" w:cs="Arial" w:eastAsia="Arial" w:hAnsi="Arial"/>
            <w:sz w:val="20"/>
            <w:szCs w:val="20"/>
          </w:rPr>
          <w:t xml:space="preserve">RSC Green Chemistry – Climate Performance of H2 Production LCA (2024)</w:t>
        </w:r>
      </w:hyperlink>
    </w:p>
    <w:p>
      <w:pPr>
        <w:spacing w:after="80"/>
      </w:pPr>
      <w:hyperlink w:history="1" r:id="rIdpgsf14er1rnhtdd72ffdy">
        <w:r>
          <w:rPr>
            <w:rStyle w:val="Hyperlink"/>
            <w:rFonts w:ascii="Arial" w:cs="Arial" w:eastAsia="Arial" w:hAnsi="Arial"/>
            <w:sz w:val="20"/>
            <w:szCs w:val="20"/>
          </w:rPr>
          <w:t xml:space="preserve">RMI – Hydrogen Reality Check</w:t>
        </w:r>
      </w:hyperlink>
    </w:p>
    <w:p>
      <w:r>
        <w:br w:type="page"/>
      </w:r>
    </w:p>
    <w:p>
      <w:pPr>
        <w:pStyle w:val="Heading1"/>
      </w:pPr>
      <w:r>
        <w:rPr>
          <w:rFonts w:ascii="Arial" w:cs="Arial" w:eastAsia="Arial" w:hAnsi="Arial"/>
        </w:rPr>
        <w:t xml:space="preserve">6. Heat (District Heating)</w:t>
      </w:r>
    </w:p>
    <w:p>
      <w:pPr>
        <w:pStyle w:val="Heading2"/>
      </w:pPr>
      <w:r>
        <w:rPr>
          <w:rFonts w:ascii="Arial" w:cs="Arial" w:eastAsia="Arial" w:hAnsi="Arial"/>
        </w:rPr>
        <w:t xml:space="preserve">6.1 Emission Factor Description</w:t>
      </w:r>
    </w:p>
    <w:p>
      <w:pPr>
        <w:spacing w:after="120" w:line="276"/>
      </w:pPr>
      <w:r>
        <w:rPr>
          <w:rFonts w:ascii="Arial" w:cs="Arial" w:eastAsia="Arial" w:hAnsi="Arial"/>
          <w:sz w:val="22"/>
          <w:szCs w:val="22"/>
        </w:rPr>
        <w:t xml:space="preserve">District heating in the Netherlands uses a mix of sources: natural gas boilers/CHP, waste incineration, industrial waste heat, biomass, and geothermal. The CO2 emission factor depends heavily on the heat source. The Dutch co2emissiefactoren.nl database provides a blended average for Dutch district heating networks.</w:t>
      </w:r>
    </w:p>
    <w:p>
      <w:pPr>
        <w:spacing w:after="120" w:line="276"/>
      </w:pPr>
      <w:r>
        <w:rPr>
          <w:rFonts w:ascii="Arial" w:cs="Arial" w:eastAsia="Arial" w:hAnsi="Arial"/>
          <w:sz w:val="22"/>
          <w:szCs w:val="22"/>
        </w:rPr>
        <w:t xml:space="preserve">According to the Climate Neutral Group review, heat from waste incineration plants has an emission factor of 26.49 kg CO2/GJ = 0.095 kg CO2/kWh. For gas-fired district heating (CHP or boiler), emissions are higher, around 40–50 kg CO2/GJ = 0.144–0.180 kg CO2/kWh.</w:t>
      </w:r>
    </w:p>
    <w:p>
      <w:pPr>
        <w:pStyle w:val="Heading2"/>
      </w:pPr>
      <w:r>
        <w:rPr>
          <w:rFonts w:ascii="Arial" w:cs="Arial" w:eastAsia="Arial" w:hAnsi="Arial"/>
        </w:rPr>
        <w:t xml:space="preserve">6.2 Values</w:t>
      </w:r>
    </w:p>
    <w:p>
      <w:pPr>
        <w:spacing w:after="120" w:line="276"/>
      </w:pPr>
      <w:r>
        <w:rPr>
          <w:rFonts w:ascii="Arial" w:cs="Arial" w:eastAsia="Arial" w:hAnsi="Arial"/>
          <w:sz w:val="22"/>
          <w:szCs w:val="22"/>
        </w:rPr>
        <w:t xml:space="preserve">Waste incineration based: 26.49 kg CO2/GJ = 0.095 kg CO2/kWh (Climate Neutral Group 2021).</w:t>
      </w:r>
    </w:p>
    <w:p>
      <w:pPr>
        <w:spacing w:after="120" w:line="276"/>
      </w:pPr>
      <w:r>
        <w:rPr>
          <w:rFonts w:ascii="Arial" w:cs="Arial" w:eastAsia="Arial" w:hAnsi="Arial"/>
          <w:sz w:val="22"/>
          <w:szCs w:val="22"/>
        </w:rPr>
        <w:t xml:space="preserve">Gas CHP based: approximately 40–45 kg CO2/GJ = 0.144–0.162 kg CO2/kWh.</w:t>
      </w:r>
    </w:p>
    <w:p>
      <w:pPr>
        <w:spacing w:after="120" w:line="276"/>
      </w:pPr>
      <w:r>
        <w:rPr>
          <w:rFonts w:ascii="Arial" w:cs="Arial" w:eastAsia="Arial" w:hAnsi="Arial"/>
          <w:sz w:val="22"/>
          <w:szCs w:val="22"/>
        </w:rPr>
        <w:t xml:space="preserve">Blended Dutch average: approximately 35 kg CO2/GJ = 0.126 kg CO2/kWh (estimated, varies by network).</w:t>
      </w:r>
    </w:p>
    <w:p>
      <w:pPr>
        <w:spacing w:after="120" w:line="276"/>
      </w:pPr>
      <w:r>
        <w:rPr>
          <w:rFonts w:ascii="Arial" w:cs="Arial" w:eastAsia="Arial" w:hAnsi="Arial"/>
          <w:sz w:val="22"/>
          <w:szCs w:val="22"/>
        </w:rPr>
        <w:t xml:space="preserve">Recommended default for model: 0.095 kg CO2/kWh (waste heat base case) or 0.126 kg CO2/kWh (blended average).</w:t>
      </w:r>
    </w:p>
    <w:p>
      <w:pPr>
        <w:pStyle w:val="Heading2"/>
      </w:pPr>
      <w:r>
        <w:rPr>
          <w:rFonts w:ascii="Arial" w:cs="Arial" w:eastAsia="Arial" w:hAnsi="Arial"/>
        </w:rPr>
        <w:t xml:space="preserve">6.3 Sources</w:t>
      </w:r>
    </w:p>
    <w:p>
      <w:pPr>
        <w:spacing w:after="80"/>
      </w:pPr>
      <w:hyperlink w:history="1" r:id="rIds-igwvhod5ntmuwrujvj4">
        <w:r>
          <w:rPr>
            <w:rStyle w:val="Hyperlink"/>
            <w:rFonts w:ascii="Arial" w:cs="Arial" w:eastAsia="Arial" w:hAnsi="Arial"/>
            <w:sz w:val="20"/>
            <w:szCs w:val="20"/>
          </w:rPr>
          <w:t xml:space="preserve">co2emissiefactoren.nl – Dutch CO2 Emission Factors Database</w:t>
        </w:r>
      </w:hyperlink>
    </w:p>
    <w:p>
      <w:pPr>
        <w:spacing w:after="80"/>
      </w:pPr>
      <w:hyperlink w:history="1" r:id="rIderpcgjzg77cu54pxroavb">
        <w:r>
          <w:rPr>
            <w:rStyle w:val="Hyperlink"/>
            <w:rFonts w:ascii="Arial" w:cs="Arial" w:eastAsia="Arial" w:hAnsi="Arial"/>
            <w:sz w:val="20"/>
            <w:szCs w:val="20"/>
          </w:rPr>
          <w:t xml:space="preserve">Climate Neutral Group – Review of Emission Factors 2021</w:t>
        </w:r>
      </w:hyperlink>
    </w:p>
    <w:p>
      <w:pPr>
        <w:spacing w:after="80"/>
      </w:pPr>
      <w:hyperlink w:history="1" r:id="rIdcvtpybxiny--hwm4e5dbq">
        <w:r>
          <w:rPr>
            <w:rStyle w:val="Hyperlink"/>
            <w:rFonts w:ascii="Arial" w:cs="Arial" w:eastAsia="Arial" w:hAnsi="Arial"/>
            <w:sz w:val="20"/>
            <w:szCs w:val="20"/>
          </w:rPr>
          <w:t xml:space="preserve">JRC – Consumers in District Heating and Cooling (EU background)</w:t>
        </w:r>
      </w:hyperlink>
    </w:p>
    <w:p>
      <w:r>
        <w:br w:type="page"/>
      </w:r>
    </w:p>
    <w:p>
      <w:pPr>
        <w:pStyle w:val="Heading1"/>
      </w:pPr>
      <w:r>
        <w:rPr>
          <w:rFonts w:ascii="Arial" w:cs="Arial" w:eastAsia="Arial" w:hAnsi="Arial"/>
        </w:rPr>
        <w:t xml:space="preserve">7. Methodology Notes</w:t>
      </w:r>
    </w:p>
    <w:p>
      <w:pPr>
        <w:spacing w:after="120" w:line="276"/>
      </w:pPr>
      <w:r>
        <w:rPr>
          <w:rFonts w:ascii="Arial" w:cs="Arial" w:eastAsia="Arial" w:hAnsi="Arial"/>
          <w:sz w:val="22"/>
          <w:szCs w:val="22"/>
        </w:rPr>
        <w:t xml:space="preserve">All emission factors use the lower heating value (LHV) as the energy basis, consistent with standard energy modeling practice. The conversion factors used are:</w:t>
      </w:r>
    </w:p>
    <w:p>
      <w:pPr>
        <w:spacing w:after="120" w:line="276"/>
      </w:pPr>
      <w:r>
        <w:rPr>
          <w:rFonts w:ascii="Arial" w:cs="Arial" w:eastAsia="Arial" w:hAnsi="Arial"/>
          <w:sz w:val="22"/>
          <w:szCs w:val="22"/>
        </w:rPr>
        <w:t xml:space="preserve">Natural gas: 1 GJ = 277.778 kWh; 1 m³ NL gas = 9.769 kWh (Groningen quality).</w:t>
      </w:r>
    </w:p>
    <w:p>
      <w:pPr>
        <w:spacing w:after="120" w:line="276"/>
      </w:pPr>
      <w:r>
        <w:rPr>
          <w:rFonts w:ascii="Arial" w:cs="Arial" w:eastAsia="Arial" w:hAnsi="Arial"/>
          <w:sz w:val="22"/>
          <w:szCs w:val="22"/>
        </w:rPr>
        <w:t xml:space="preserve">Diesel: 1 GJ = 277.778 kWh; 1 liter = 35.8 MJ = 9.94 kWh (LHV); density = 0.835 kg/liter.</w:t>
      </w:r>
    </w:p>
    <w:p>
      <w:pPr>
        <w:spacing w:after="120" w:line="276"/>
      </w:pPr>
      <w:r>
        <w:rPr>
          <w:rFonts w:ascii="Arial" w:cs="Arial" w:eastAsia="Arial" w:hAnsi="Arial"/>
          <w:sz w:val="22"/>
          <w:szCs w:val="22"/>
        </w:rPr>
        <w:t xml:space="preserve">Hydrogen: 1 kg = 120 MJ = 33.33 kWh (LHV).</w:t>
      </w:r>
    </w:p>
    <w:p>
      <w:pPr>
        <w:spacing w:after="120" w:line="276"/>
      </w:pPr>
      <w:r>
        <w:rPr>
          <w:rFonts w:ascii="Arial" w:cs="Arial" w:eastAsia="Arial" w:hAnsi="Arial"/>
          <w:sz w:val="22"/>
          <w:szCs w:val="22"/>
        </w:rPr>
        <w:t xml:space="preserve">Heat: 1 GJ = 277.778 kWh.</w:t>
      </w:r>
    </w:p>
    <w:p>
      <w:pPr>
        <w:spacing w:after="120" w:line="276"/>
      </w:pPr>
      <w:r>
        <w:rPr>
          <w:rFonts w:ascii="Arial" w:cs="Arial" w:eastAsia="Arial" w:hAnsi="Arial"/>
          <w:sz w:val="22"/>
          <w:szCs w:val="22"/>
        </w:rPr>
        <w:t xml:space="preserve">Direct / tank-to-wheel factors cover only combustion emissions (Scope 1). Lifecycle / well-to-wheel factors additionally include upstream extraction, processing, transport, and distribution (Scope 3). For electricity, Scope 2 applies.</w:t>
      </w:r>
    </w:p>
    <w:p>
      <w:pPr>
        <w:spacing w:after="120" w:line="276"/>
      </w:pPr>
      <w:r>
        <w:rPr>
          <w:rFonts w:ascii="Arial" w:cs="Arial" w:eastAsia="Arial" w:hAnsi="Arial"/>
          <w:sz w:val="22"/>
          <w:szCs w:val="22"/>
        </w:rPr>
        <w:t xml:space="preserve">The Dutch official emission factors from co2emissiefactoren.nl and RVO are updated annually and should be considered the authoritative source for regulatory compliance in the Netherlands.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CO2 Emissions per Energy Carrier – Netherlands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ngup0tortbz2is4dyoc4" Type="http://schemas.openxmlformats.org/officeDocument/2006/relationships/hyperlink" Target="https://www.nowtricity.com/country/netherlands/" TargetMode="External"/><Relationship Id="rIdzbj0uebekq3td6x7zizxs" Type="http://schemas.openxmlformats.org/officeDocument/2006/relationships/hyperlink" Target="https://www.statista.com/statistics/1290441/carbon-intensity-power-sector-netherlands/" TargetMode="External"/><Relationship Id="rIdscpff2ymho0ywmooxc1yd" Type="http://schemas.openxmlformats.org/officeDocument/2006/relationships/hyperlink" Target="https://co2emissiefactoren.nl/" TargetMode="External"/><Relationship Id="rIdhtuqsiczlvurwwvgochys" Type="http://schemas.openxmlformats.org/officeDocument/2006/relationships/hyperlink" Target="https://www.milieubarometer.nl/en-gb/news/yearly-update-co2-factors-february-2024/" TargetMode="External"/><Relationship Id="rIdvk189bqt2xvzmgnjtdguz" Type="http://schemas.openxmlformats.org/officeDocument/2006/relationships/hyperlink" Target="https://www.climatiq.io/data/emission-factor/da099ab1-af35-4ab9-9f27-d1b9a61d9e8b" TargetMode="External"/><Relationship Id="rIdvfnz7q4kvfrcd7wcrxg4q" Type="http://schemas.openxmlformats.org/officeDocument/2006/relationships/hyperlink" Target="https://english.rvo.nl/sites/default/files/2024-07/The-Netherlands-list-of-fuels-January-2024.pdf" TargetMode="External"/><Relationship Id="rIdg41igzfozo1s3ugpc-k_7" Type="http://schemas.openxmlformats.org/officeDocument/2006/relationships/hyperlink" Target="https://english.rvo.nl/sites/default/files/2025-02/the-Netherlands-list-of-fuels-January-2025.pdf" TargetMode="External"/><Relationship Id="rIdnaeeyhhc7x_elpzc-r-dr" Type="http://schemas.openxmlformats.org/officeDocument/2006/relationships/hyperlink" Target="https://www.ipcc-nggip.iges.or.jp/public/2006gl/vol2.html" TargetMode="External"/><Relationship Id="rIdccvi2q2-zjxmzpe8wmsuv" Type="http://schemas.openxmlformats.org/officeDocument/2006/relationships/hyperlink" Target="https://www.climateneutralgroup.com/wp-content/uploads/2021/05/210422-CNG-Review-emissionfactors-2020-2021-UK.pdf" TargetMode="External"/><Relationship Id="rIdxppz0hkpvuzxsoizmxdsm" Type="http://schemas.openxmlformats.org/officeDocument/2006/relationships/hyperlink" Target="https://english.rvo.nl/sites/default/files/2024-07/The-Netherlands-list-of-fuels-January-2024.pdf" TargetMode="External"/><Relationship Id="rIdhtpy1y2_hotecz8sptgzg" Type="http://schemas.openxmlformats.org/officeDocument/2006/relationships/hyperlink" Target="https://cedelft.eu/wp-content/uploads/sites/2/2021/03/CE_Delft_190325_STREAM_Freight_Transport_2020_FINAL.pdf" TargetMode="External"/><Relationship Id="rIdheyg62d3zjhiisi6i0h7b" Type="http://schemas.openxmlformats.org/officeDocument/2006/relationships/hyperlink" Target="https://cedelft.eu/wp-content/uploads/sites/2/2021/05/CE_Delft_200258_Methodology_GHG_Efficiency_Transport_Modes.pdf" TargetMode="External"/><Relationship Id="rIdpzshfquoaexr2anqtbtpa" Type="http://schemas.openxmlformats.org/officeDocument/2006/relationships/hyperlink" Target="https://www.ipcc-nggip.iges.or.jp/public/2006gl/vol2.html" TargetMode="External"/><Relationship Id="rIdxzttafy-jwuyey7ctmllh" Type="http://schemas.openxmlformats.org/officeDocument/2006/relationships/hyperlink" Target="https://hydrogencouncil.com/wp-content/uploads/2021/01/Hydrogen-Council-Report_Decarbonization-Pathways_Part-1-Lifecycle-Assessment.pdf" TargetMode="External"/><Relationship Id="rId02rg2d8iyqnmxppfqe8cj" Type="http://schemas.openxmlformats.org/officeDocument/2006/relationships/hyperlink" Target="https://www.iea.org/data-and-statistics/charts/comparison-of-the-emissions-intensity-of-different-hydrogen-production-routes-2021" TargetMode="External"/><Relationship Id="rIdsm02xccpuspirqwmpnmov" Type="http://schemas.openxmlformats.org/officeDocument/2006/relationships/hyperlink" Target="https://pubs.rsc.org/en/content/articlehtml/2024/gc/d3gc02410e" TargetMode="External"/><Relationship Id="rIdpgsf14er1rnhtdd72ffdy" Type="http://schemas.openxmlformats.org/officeDocument/2006/relationships/hyperlink" Target="https://rmi.org/all-clean-hydrogen-is-not-equally-clean/" TargetMode="External"/><Relationship Id="rIds-igwvhod5ntmuwrujvj4" Type="http://schemas.openxmlformats.org/officeDocument/2006/relationships/hyperlink" Target="https://co2emissiefactoren.nl/" TargetMode="External"/><Relationship Id="rIderpcgjzg77cu54pxroavb" Type="http://schemas.openxmlformats.org/officeDocument/2006/relationships/hyperlink" Target="https://www.climateneutralgroup.com/wp-content/uploads/2021/05/210422-CNG-Review-emissionfactors-2020-2021-UK.pdf" TargetMode="External"/><Relationship Id="rIdcvtpybxiny--hwm4e5dbq" Type="http://schemas.openxmlformats.org/officeDocument/2006/relationships/hyperlink" Target="https://publications.jrc.ec.europa.eu/repository/bitstream/JRC132057/JRC132057_01.pdf" TargetMode="External"/><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2026-03-24T20:57:51.153Z</dcterms:created>
  <dcterms:modified xsi:type="dcterms:W3CDTF">2026-03-24T20:57:51.154Z</dcterms:modified>
</cp:coreProperties>
</file>

<file path=docProps/custom.xml><?xml version="1.0" encoding="utf-8"?>
<Properties xmlns="http://schemas.openxmlformats.org/officeDocument/2006/custom-properties" xmlns:vt="http://schemas.openxmlformats.org/officeDocument/2006/docPropsVTypes"/>
</file>