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F4E79"/>
          <w:sz w:val="40"/>
          <w:szCs w:val="40"/>
        </w:rPr>
        <w:t xml:space="preserve">Energy Carrier Prices – Netherlands</w:t>
      </w:r>
    </w:p>
    <w:p>
      <w:pPr>
        <w:spacing w:after="400"/>
      </w:pPr>
      <w:r>
        <w:rPr>
          <w:rFonts w:ascii="Arial" w:cs="Arial" w:eastAsia="Arial" w:hAnsi="Arial"/>
          <w:color w:val="666666"/>
          <w:sz w:val="24"/>
          <w:szCs w:val="24"/>
        </w:rPr>
        <w:t xml:space="preserve">Reference Document for AnyLogic Energy Model</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240" w:after="120"/>
      </w:pPr>
      <w:r>
        <w:rPr>
          <w:rFonts w:ascii="Arial" w:cs="Arial" w:eastAsia="Arial" w:hAnsi="Arial"/>
        </w:rPr>
        <w:t xml:space="preserve">1. Electricity</w:t>
      </w:r>
    </w:p>
    <w:p>
      <w:pPr>
        <w:pStyle w:val="Heading2"/>
        <w:spacing w:before="240" w:after="120"/>
      </w:pPr>
      <w:r>
        <w:rPr>
          <w:rFonts w:ascii="Arial" w:cs="Arial" w:eastAsia="Arial" w:hAnsi="Arial"/>
        </w:rPr>
        <w:t xml:space="preserve">1.1 Data Source</w:t>
      </w:r>
    </w:p>
    <w:p>
      <w:pPr>
        <w:spacing w:after="120" w:line="276"/>
      </w:pPr>
      <w:r>
        <w:rPr>
          <w:rFonts w:ascii="Arial" w:cs="Arial" w:eastAsia="Arial" w:hAnsi="Arial"/>
          <w:sz w:val="22"/>
          <w:szCs w:val="22"/>
        </w:rPr>
        <w:t xml:space="preserve">The primary source for Netherlands wholesale electricity prices is the ENTSO-E Transparency Platform, which publishes day-ahead auction results for all EU bidding zones. The Netherlands bidding zone code is 10YNL----------L. Prices are published in EUR/MWh at 15-minute resolution for the Dutch market.</w:t>
      </w:r>
    </w:p>
    <w:p>
      <w:pPr>
        <w:spacing w:after="80"/>
      </w:pPr>
      <w:hyperlink w:history="1" r:id="rIdgmyxhanvgluiu0oi9_q8q">
        <w:r>
          <w:rPr>
            <w:rStyle w:val="Hyperlink"/>
            <w:rFonts w:ascii="Arial" w:cs="Arial" w:eastAsia="Arial" w:hAnsi="Arial"/>
            <w:sz w:val="20"/>
            <w:szCs w:val="20"/>
          </w:rPr>
          <w:t xml:space="preserve">ENTSO-E Transparency Platform – Day-ahead Prices</w:t>
        </w:r>
      </w:hyperlink>
    </w:p>
    <w:p>
      <w:pPr>
        <w:spacing w:after="80"/>
      </w:pPr>
      <w:hyperlink w:history="1" r:id="rId28crgy8phqzd_pjyfmkfo">
        <w:r>
          <w:rPr>
            <w:rStyle w:val="Hyperlink"/>
            <w:rFonts w:ascii="Arial" w:cs="Arial" w:eastAsia="Arial" w:hAnsi="Arial"/>
            <w:sz w:val="20"/>
            <w:szCs w:val="20"/>
          </w:rPr>
          <w:t xml:space="preserve">ENTSO-E New Transparency Platform</w:t>
        </w:r>
      </w:hyperlink>
    </w:p>
    <w:p>
      <w:pPr>
        <w:spacing w:after="80"/>
      </w:pPr>
      <w:hyperlink w:history="1" r:id="rIdzjbhpl5ghkcnbi2-pfjz1">
        <w:r>
          <w:rPr>
            <w:rStyle w:val="Hyperlink"/>
            <w:rFonts w:ascii="Arial" w:cs="Arial" w:eastAsia="Arial" w:hAnsi="Arial"/>
            <w:sz w:val="20"/>
            <w:szCs w:val="20"/>
          </w:rPr>
          <w:t xml:space="preserve">ENTSO-E REST API Guide</w:t>
        </w:r>
      </w:hyperlink>
    </w:p>
    <w:p>
      <w:pPr>
        <w:spacing w:after="80"/>
      </w:pPr>
      <w:hyperlink w:history="1" r:id="rIdypzemxlg4-gnr9eqhktuh">
        <w:r>
          <w:rPr>
            <w:rStyle w:val="Hyperlink"/>
            <w:rFonts w:ascii="Arial" w:cs="Arial" w:eastAsia="Arial" w:hAnsi="Arial"/>
            <w:sz w:val="20"/>
            <w:szCs w:val="20"/>
          </w:rPr>
          <w:t xml:space="preserve">TenneT Annual Market Update 2023</w:t>
        </w:r>
      </w:hyperlink>
    </w:p>
    <w:p>
      <w:pPr>
        <w:pStyle w:val="Heading2"/>
        <w:spacing w:before="240" w:after="120"/>
      </w:pPr>
      <w:r>
        <w:rPr>
          <w:rFonts w:ascii="Arial" w:cs="Arial" w:eastAsia="Arial" w:hAnsi="Arial"/>
        </w:rPr>
        <w:t xml:space="preserve">1.2 What the Data Represents</w:t>
      </w:r>
    </w:p>
    <w:p>
      <w:pPr>
        <w:spacing w:after="120" w:line="276"/>
      </w:pPr>
      <w:r>
        <w:rPr>
          <w:rFonts w:ascii="Arial" w:cs="Arial" w:eastAsia="Arial" w:hAnsi="Arial"/>
          <w:sz w:val="22"/>
          <w:szCs w:val="22"/>
        </w:rPr>
        <w:t xml:space="preserve">Day-ahead prices reflect the marginal clearing price of the EPEX SPOT auction for next-day delivery. These are wholesale prices that do not include network tariffs, energy tax (energiebelasting), ODE, or VAT. The 15-minute resolution captures intra-hour price variation, which is important for modeling battery storage dispatch and solar PV output timing.</w:t>
      </w:r>
    </w:p>
    <w:p>
      <w:pPr>
        <w:pStyle w:val="Heading2"/>
        <w:spacing w:before="240" w:after="120"/>
      </w:pPr>
      <w:r>
        <w:rPr>
          <w:rFonts w:ascii="Arial" w:cs="Arial" w:eastAsia="Arial" w:hAnsi="Arial"/>
        </w:rPr>
        <w:t xml:space="preserve">1.3 Conversion to EUR/kWh</w:t>
      </w:r>
    </w:p>
    <w:p>
      <w:pPr>
        <w:spacing w:after="120" w:line="276"/>
      </w:pPr>
      <w:r>
        <w:rPr>
          <w:rFonts w:ascii="Arial" w:cs="Arial" w:eastAsia="Arial" w:hAnsi="Arial"/>
          <w:sz w:val="22"/>
          <w:szCs w:val="22"/>
        </w:rPr>
        <w:t xml:space="preserve">ENTSO-E publishes prices in EUR/MWh. The conversion formula is:</w:t>
      </w:r>
    </w:p>
    <w:p>
      <w:pPr>
        <w:spacing w:after="120"/>
        <w:jc w:val="center"/>
      </w:pPr>
      <w:r>
        <w:rPr>
          <w:rFonts w:ascii="Arial" w:cs="Arial" w:eastAsia="Arial" w:hAnsi="Arial"/>
          <w:b/>
          <w:bCs/>
          <w:sz w:val="22"/>
          <w:szCs w:val="22"/>
        </w:rPr>
        <w:t xml:space="preserve">Price (EUR/kWh) = Price (EUR/MWh) ÷ 1,000</w:t>
      </w:r>
    </w:p>
    <w:p>
      <w:pPr>
        <w:pStyle w:val="Heading2"/>
        <w:spacing w:before="240" w:after="120"/>
      </w:pPr>
      <w:r>
        <w:rPr>
          <w:rFonts w:ascii="Arial" w:cs="Arial" w:eastAsia="Arial" w:hAnsi="Arial"/>
        </w:rPr>
        <w:t xml:space="preserve">1.4 Data Resolution and Gaps</w:t>
      </w:r>
    </w:p>
    <w:p>
      <w:pPr>
        <w:spacing w:after="120" w:line="276"/>
      </w:pPr>
      <w:r>
        <w:rPr>
          <w:rFonts w:ascii="Arial" w:cs="Arial" w:eastAsia="Arial" w:hAnsi="Arial"/>
          <w:sz w:val="22"/>
          <w:szCs w:val="22"/>
        </w:rPr>
        <w:t xml:space="preserve">Resolution: 15-minute intervals (96 data points per day, 35,040 per year). ENTSO-E data is generally complete for the Netherlands. Clock changes (DST) may cause 92 or 100 intervals on transition days. The Excel file contains separate sheets for 2023, 2024, and 2025 with template headers. Due to the volume of data (~105,000 rows for 3 years), the data must be downloaded separately via the ENTSO-E platform or API.</w:t>
      </w:r>
    </w:p>
    <w:p>
      <w:pPr>
        <w:pStyle w:val="Heading2"/>
        <w:spacing w:before="240" w:after="120"/>
      </w:pPr>
      <w:r>
        <w:rPr>
          <w:rFonts w:ascii="Arial" w:cs="Arial" w:eastAsia="Arial" w:hAnsi="Arial"/>
        </w:rPr>
        <w:t xml:space="preserve">1.5 API Download Instructions</w:t>
      </w:r>
    </w:p>
    <w:p>
      <w:pPr>
        <w:spacing w:after="120" w:line="276"/>
      </w:pPr>
      <w:r>
        <w:rPr>
          <w:rFonts w:ascii="Arial" w:cs="Arial" w:eastAsia="Arial" w:hAnsi="Arial"/>
          <w:sz w:val="22"/>
          <w:szCs w:val="22"/>
        </w:rPr>
        <w:t xml:space="preserve">To download via API, register at the ENTSO-E Transparency Platform and request an API security token. Use the following query parameters:</w:t>
      </w:r>
    </w:p>
    <w:p>
      <w:pPr>
        <w:spacing w:after="120" w:line="276"/>
      </w:pPr>
      <w:r>
        <w:rPr>
          <w:rFonts w:ascii="Arial" w:cs="Arial" w:eastAsia="Arial" w:hAnsi="Arial"/>
          <w:b w:val="false"/>
          <w:bCs w:val="false"/>
          <w:sz w:val="22"/>
          <w:szCs w:val="22"/>
        </w:rPr>
        <w:t xml:space="preserve">documentType: A44 (Price Document)</w:t>
      </w:r>
    </w:p>
    <w:p>
      <w:pPr>
        <w:spacing w:after="120" w:line="276"/>
      </w:pPr>
      <w:r>
        <w:rPr>
          <w:rFonts w:ascii="Arial" w:cs="Arial" w:eastAsia="Arial" w:hAnsi="Arial"/>
          <w:sz w:val="22"/>
          <w:szCs w:val="22"/>
        </w:rPr>
        <w:t xml:space="preserve">in_Domain / out_Domain: 10YNL----------L (Netherlands)</w:t>
      </w:r>
    </w:p>
    <w:p>
      <w:pPr>
        <w:spacing w:after="120" w:line="276"/>
      </w:pPr>
      <w:r>
        <w:rPr>
          <w:rFonts w:ascii="Arial" w:cs="Arial" w:eastAsia="Arial" w:hAnsi="Arial"/>
          <w:sz w:val="22"/>
          <w:szCs w:val="22"/>
        </w:rPr>
        <w:t xml:space="preserve">periodStart: YYYYMMDDhhmm (e.g., 202301010000)</w:t>
      </w:r>
    </w:p>
    <w:p>
      <w:pPr>
        <w:spacing w:after="120" w:line="276"/>
      </w:pPr>
      <w:r>
        <w:rPr>
          <w:rFonts w:ascii="Arial" w:cs="Arial" w:eastAsia="Arial" w:hAnsi="Arial"/>
          <w:sz w:val="22"/>
          <w:szCs w:val="22"/>
        </w:rPr>
        <w:t xml:space="preserve">periodEnd: YYYYMMDDhhmm (e.g., 202312312300)</w:t>
      </w:r>
    </w:p>
    <w:p>
      <w:pPr>
        <w:pStyle w:val="Heading2"/>
        <w:spacing w:before="240" w:after="120"/>
      </w:pPr>
      <w:r>
        <w:rPr>
          <w:rFonts w:ascii="Arial" w:cs="Arial" w:eastAsia="Arial" w:hAnsi="Arial"/>
        </w:rPr>
        <w:t xml:space="preserve">1.6 Annual Average Prices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1800"/>
        <w:gridCol w:w="1800"/>
        <w:gridCol w:w="960"/>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Metric</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2023</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2024</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2025</w:t>
            </w:r>
          </w:p>
        </w:tc>
        <w:tc>
          <w:tcPr>
            <w:tcW w:type="dxa" w:w="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Unit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Day-ahead average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97.0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78.0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85.0*</w:t>
            </w:r>
          </w:p>
        </w:tc>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EUR/MWh</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Converted to kWh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0.0970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0.0780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0.0850*</w:t>
            </w:r>
          </w:p>
        </w:tc>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EUR/kWh</w:t>
            </w:r>
          </w:p>
        </w:tc>
      </w:tr>
    </w:tbl>
    <w:p>
      <w:pPr>
        <w:spacing w:after="120" w:line="276"/>
      </w:pPr>
      <w:r>
        <w:rPr>
          <w:rFonts w:ascii="Arial" w:cs="Arial" w:eastAsia="Arial" w:hAnsi="Arial"/>
          <w:sz w:val="22"/>
          <w:szCs w:val="22"/>
        </w:rPr>
        <w:t xml:space="preserve">* 2025 estimate based on partial-year data (higher volatility observed, many negative-price hours).</w:t>
      </w:r>
    </w:p>
    <w:p>
      <w:pPr>
        <w:spacing w:after="120" w:line="276"/>
      </w:pPr>
      <w:r>
        <w:rPr>
          <w:rFonts w:ascii="Arial" w:cs="Arial" w:eastAsia="Arial" w:hAnsi="Arial"/>
          <w:sz w:val="22"/>
          <w:szCs w:val="22"/>
        </w:rPr>
        <w:t xml:space="preserve">Source: TenneT Annual Market Update 2023; Ember European Wholesale Price Data; EPEX SPOT annual trading results.</w:t>
      </w:r>
    </w:p>
    <w:p>
      <w:r>
        <w:br w:type="page"/>
      </w:r>
    </w:p>
    <w:p>
      <w:pPr>
        <w:pStyle w:val="Heading1"/>
        <w:spacing w:before="240" w:after="120"/>
      </w:pPr>
      <w:r>
        <w:rPr>
          <w:rFonts w:ascii="Arial" w:cs="Arial" w:eastAsia="Arial" w:hAnsi="Arial"/>
        </w:rPr>
        <w:t xml:space="preserve">2. Methane (Natural Gas – TTF)</w:t>
      </w:r>
    </w:p>
    <w:p>
      <w:pPr>
        <w:pStyle w:val="Heading2"/>
        <w:spacing w:before="240" w:after="120"/>
      </w:pPr>
      <w:r>
        <w:rPr>
          <w:rFonts w:ascii="Arial" w:cs="Arial" w:eastAsia="Arial" w:hAnsi="Arial"/>
        </w:rPr>
        <w:t xml:space="preserve">2.1 Data Source</w:t>
      </w:r>
    </w:p>
    <w:p>
      <w:pPr>
        <w:spacing w:after="120" w:line="276"/>
      </w:pPr>
      <w:r>
        <w:rPr>
          <w:rFonts w:ascii="Arial" w:cs="Arial" w:eastAsia="Arial" w:hAnsi="Arial"/>
          <w:sz w:val="22"/>
          <w:szCs w:val="22"/>
        </w:rPr>
        <w:t xml:space="preserve">The Title Transfer Facility (TTF) is the main European natural gas trading hub, located in the Netherlands. TTF day-ahead prices are published by ICE Endex and are the benchmark for European gas pricing. Historical daily data is available from financial platforms.</w:t>
      </w:r>
    </w:p>
    <w:p>
      <w:pPr>
        <w:spacing w:after="80"/>
      </w:pPr>
      <w:hyperlink w:history="1" r:id="rIdldlc3bgvpmpghy55qf6jb">
        <w:r>
          <w:rPr>
            <w:rStyle w:val="Hyperlink"/>
            <w:rFonts w:ascii="Arial" w:cs="Arial" w:eastAsia="Arial" w:hAnsi="Arial"/>
            <w:sz w:val="20"/>
            <w:szCs w:val="20"/>
          </w:rPr>
          <w:t xml:space="preserve">ICE Endex – Dutch TTF Natural Gas Futures</w:t>
        </w:r>
      </w:hyperlink>
    </w:p>
    <w:p>
      <w:pPr>
        <w:spacing w:after="80"/>
      </w:pPr>
      <w:hyperlink w:history="1" r:id="rIdu1fyxkppvjpcg4oy_fffa">
        <w:r>
          <w:rPr>
            <w:rStyle w:val="Hyperlink"/>
            <w:rFonts w:ascii="Arial" w:cs="Arial" w:eastAsia="Arial" w:hAnsi="Arial"/>
            <w:sz w:val="20"/>
            <w:szCs w:val="20"/>
          </w:rPr>
          <w:t xml:space="preserve">Investing.com – TTF Historical Data</w:t>
        </w:r>
      </w:hyperlink>
    </w:p>
    <w:p>
      <w:pPr>
        <w:spacing w:after="80"/>
      </w:pPr>
      <w:hyperlink w:history="1" r:id="rIdvvwjc0xlsrnph-ekczufl">
        <w:r>
          <w:rPr>
            <w:rStyle w:val="Hyperlink"/>
            <w:rFonts w:ascii="Arial" w:cs="Arial" w:eastAsia="Arial" w:hAnsi="Arial"/>
            <w:sz w:val="20"/>
            <w:szCs w:val="20"/>
          </w:rPr>
          <w:t xml:space="preserve">Trading Economics – EU Natural Gas</w:t>
        </w:r>
      </w:hyperlink>
    </w:p>
    <w:p>
      <w:pPr>
        <w:spacing w:after="80"/>
      </w:pPr>
      <w:hyperlink w:history="1" r:id="rIda1-4wygky-fiw12y3_0dk">
        <w:r>
          <w:rPr>
            <w:rStyle w:val="Hyperlink"/>
            <w:rFonts w:ascii="Arial" w:cs="Arial" w:eastAsia="Arial" w:hAnsi="Arial"/>
            <w:sz w:val="20"/>
            <w:szCs w:val="20"/>
          </w:rPr>
          <w:t xml:space="preserve">Statista – Weekly Dutch TTF Gas Futures</w:t>
        </w:r>
      </w:hyperlink>
    </w:p>
    <w:p>
      <w:pPr>
        <w:pStyle w:val="Heading2"/>
        <w:spacing w:before="240" w:after="120"/>
      </w:pPr>
      <w:r>
        <w:rPr>
          <w:rFonts w:ascii="Arial" w:cs="Arial" w:eastAsia="Arial" w:hAnsi="Arial"/>
        </w:rPr>
        <w:t xml:space="preserve">2.2 What the Data Represents</w:t>
      </w:r>
    </w:p>
    <w:p>
      <w:pPr>
        <w:spacing w:after="120" w:line="276"/>
      </w:pPr>
      <w:r>
        <w:rPr>
          <w:rFonts w:ascii="Arial" w:cs="Arial" w:eastAsia="Arial" w:hAnsi="Arial"/>
          <w:sz w:val="22"/>
          <w:szCs w:val="22"/>
        </w:rPr>
        <w:t xml:space="preserve">TTF prices are wholesale hub prices for pipeline-quality natural gas delivered at the Dutch virtual trading point. They do not include transport tariffs, distribution costs, energy tax, ODE, or VAT. TTF is quoted in EUR/MWh (thermal). For end-user prices including all components, see CBS StatLine data.</w:t>
      </w:r>
    </w:p>
    <w:p>
      <w:pPr>
        <w:pStyle w:val="Heading2"/>
        <w:spacing w:before="240" w:after="120"/>
      </w:pPr>
      <w:r>
        <w:rPr>
          <w:rFonts w:ascii="Arial" w:cs="Arial" w:eastAsia="Arial" w:hAnsi="Arial"/>
        </w:rPr>
        <w:t xml:space="preserve">2.3 Conversion to EUR/kWh</w:t>
      </w:r>
    </w:p>
    <w:p>
      <w:pPr>
        <w:spacing w:after="120" w:line="276"/>
      </w:pPr>
      <w:r>
        <w:rPr>
          <w:rFonts w:ascii="Arial" w:cs="Arial" w:eastAsia="Arial" w:hAnsi="Arial"/>
          <w:sz w:val="22"/>
          <w:szCs w:val="22"/>
        </w:rPr>
        <w:t xml:space="preserve">TTF prices are already in EUR/MWh (thermal energy content). The conversion is:</w:t>
      </w:r>
    </w:p>
    <w:p>
      <w:pPr>
        <w:spacing w:after="120"/>
        <w:jc w:val="center"/>
      </w:pPr>
      <w:r>
        <w:rPr>
          <w:rFonts w:ascii="Arial" w:cs="Arial" w:eastAsia="Arial" w:hAnsi="Arial"/>
          <w:b/>
          <w:bCs/>
          <w:sz w:val="22"/>
          <w:szCs w:val="22"/>
        </w:rPr>
        <w:t xml:space="preserve">Price (EUR/kWh) = Price (EUR/MWh) ÷ 1,000</w:t>
      </w:r>
    </w:p>
    <w:p>
      <w:pPr>
        <w:spacing w:after="120" w:line="276"/>
      </w:pPr>
      <w:r>
        <w:rPr>
          <w:rFonts w:ascii="Arial" w:cs="Arial" w:eastAsia="Arial" w:hAnsi="Arial"/>
          <w:sz w:val="22"/>
          <w:szCs w:val="22"/>
        </w:rPr>
        <w:t xml:space="preserve">For reference: 1 m³ of Dutch natural gas (Groningen quality) ≈ 35.17 MJ ≈ 9.769 kWh. H-gas (high-calorific): 1 m³ ≈ 39.8 MJ ≈ 11.06 kWh.</w:t>
      </w:r>
    </w:p>
    <w:p>
      <w:pPr>
        <w:pStyle w:val="Heading2"/>
        <w:spacing w:before="240" w:after="120"/>
      </w:pPr>
      <w:r>
        <w:rPr>
          <w:rFonts w:ascii="Arial" w:cs="Arial" w:eastAsia="Arial" w:hAnsi="Arial"/>
        </w:rPr>
        <w:t xml:space="preserve">2.4 Annual Average Prices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1800"/>
        <w:gridCol w:w="1800"/>
        <w:gridCol w:w="960"/>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Metric</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2023</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2024</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2025</w:t>
            </w:r>
          </w:p>
        </w:tc>
        <w:tc>
          <w:tcPr>
            <w:tcW w:type="dxa" w:w="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Unit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TTF average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39.6</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34.6</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40.7</w:t>
            </w:r>
          </w:p>
        </w:tc>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EUR/MWh</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Converted to kWh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0.0396</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0.0346</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0.0407</w:t>
            </w:r>
          </w:p>
        </w:tc>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EUR/kWh</w:t>
            </w:r>
          </w:p>
        </w:tc>
      </w:tr>
    </w:tbl>
    <w:p>
      <w:pPr>
        <w:spacing w:after="120" w:line="276"/>
      </w:pPr>
      <w:r>
        <w:rPr>
          <w:rFonts w:ascii="Arial" w:cs="Arial" w:eastAsia="Arial" w:hAnsi="Arial"/>
          <w:sz w:val="22"/>
          <w:szCs w:val="22"/>
        </w:rPr>
        <w:t xml:space="preserve">Source: Monthly averages computed from ICE Endex TTF day-ahead data via Investing.com.</w:t>
      </w:r>
    </w:p>
    <w:p>
      <w:r>
        <w:br w:type="page"/>
      </w:r>
    </w:p>
    <w:p>
      <w:pPr>
        <w:pStyle w:val="Heading1"/>
        <w:spacing w:before="240" w:after="120"/>
      </w:pPr>
      <w:r>
        <w:rPr>
          <w:rFonts w:ascii="Arial" w:cs="Arial" w:eastAsia="Arial" w:hAnsi="Arial"/>
        </w:rPr>
        <w:t xml:space="preserve">3. Petroleum Fuel (Diesel / Gasoil)</w:t>
      </w:r>
    </w:p>
    <w:p>
      <w:pPr>
        <w:pStyle w:val="Heading2"/>
        <w:spacing w:before="240" w:after="120"/>
      </w:pPr>
      <w:r>
        <w:rPr>
          <w:rFonts w:ascii="Arial" w:cs="Arial" w:eastAsia="Arial" w:hAnsi="Arial"/>
        </w:rPr>
        <w:t xml:space="preserve">3.1 Data Source</w:t>
      </w:r>
    </w:p>
    <w:p>
      <w:pPr>
        <w:spacing w:after="120" w:line="276"/>
      </w:pPr>
      <w:r>
        <w:rPr>
          <w:rFonts w:ascii="Arial" w:cs="Arial" w:eastAsia="Arial" w:hAnsi="Arial"/>
          <w:sz w:val="22"/>
          <w:szCs w:val="22"/>
        </w:rPr>
        <w:t xml:space="preserve">Dutch diesel pump prices are published by CBS (Centraal Bureau voor de Statistiek) as weighted average daily prices. The EU Weekly Oil Bulletin also publishes weekly prices for all member states. Prices include excise duty (accijns) and 21% VAT.</w:t>
      </w:r>
    </w:p>
    <w:p>
      <w:pPr>
        <w:spacing w:after="80"/>
      </w:pPr>
      <w:hyperlink w:history="1" r:id="rIdjtiwfomcea4rfllvyyyxr">
        <w:r>
          <w:rPr>
            <w:rStyle w:val="Hyperlink"/>
            <w:rFonts w:ascii="Arial" w:cs="Arial" w:eastAsia="Arial" w:hAnsi="Arial"/>
            <w:sz w:val="20"/>
            <w:szCs w:val="20"/>
          </w:rPr>
          <w:t xml:space="preserve">CBS – Pump prices motor fuels (daily)</w:t>
        </w:r>
      </w:hyperlink>
    </w:p>
    <w:p>
      <w:pPr>
        <w:spacing w:after="80"/>
      </w:pPr>
      <w:hyperlink w:history="1" r:id="rIdj9u37pmew3ezl65oyybmw">
        <w:r>
          <w:rPr>
            <w:rStyle w:val="Hyperlink"/>
            <w:rFonts w:ascii="Arial" w:cs="Arial" w:eastAsia="Arial" w:hAnsi="Arial"/>
            <w:sz w:val="20"/>
            <w:szCs w:val="20"/>
          </w:rPr>
          <w:t xml:space="preserve">EU Weekly Oil Bulletin</w:t>
        </w:r>
      </w:hyperlink>
    </w:p>
    <w:p>
      <w:pPr>
        <w:spacing w:after="80"/>
      </w:pPr>
      <w:hyperlink w:history="1" r:id="rIdahiiti94_5c-n56dfdvtl">
        <w:r>
          <w:rPr>
            <w:rStyle w:val="Hyperlink"/>
            <w:rFonts w:ascii="Arial" w:cs="Arial" w:eastAsia="Arial" w:hAnsi="Arial"/>
            <w:sz w:val="20"/>
            <w:szCs w:val="20"/>
          </w:rPr>
          <w:t xml:space="preserve">GlobalPetrolPrices – Netherlands Diesel</w:t>
        </w:r>
      </w:hyperlink>
    </w:p>
    <w:p>
      <w:pPr>
        <w:pStyle w:val="Heading2"/>
        <w:spacing w:before="240" w:after="120"/>
      </w:pPr>
      <w:r>
        <w:rPr>
          <w:rFonts w:ascii="Arial" w:cs="Arial" w:eastAsia="Arial" w:hAnsi="Arial"/>
        </w:rPr>
        <w:t xml:space="preserve">3.2 Conversion to EUR/kWh</w:t>
      </w:r>
    </w:p>
    <w:p>
      <w:pPr>
        <w:spacing w:after="120" w:line="276"/>
      </w:pPr>
      <w:r>
        <w:rPr>
          <w:rFonts w:ascii="Arial" w:cs="Arial" w:eastAsia="Arial" w:hAnsi="Arial"/>
          <w:sz w:val="22"/>
          <w:szCs w:val="22"/>
        </w:rPr>
        <w:t xml:space="preserve">Diesel has a lower heating value (LHV) of approximately 35.8 MJ/liter ≈ 9.94 kWh/liter. We use a rounded value of 10.0 kWh/liter for convenience:</w:t>
      </w:r>
    </w:p>
    <w:p>
      <w:pPr>
        <w:spacing w:after="120"/>
        <w:jc w:val="center"/>
      </w:pPr>
      <w:r>
        <w:rPr>
          <w:rFonts w:ascii="Arial" w:cs="Arial" w:eastAsia="Arial" w:hAnsi="Arial"/>
          <w:b/>
          <w:bCs/>
          <w:sz w:val="22"/>
          <w:szCs w:val="22"/>
        </w:rPr>
        <w:t xml:space="preserve">Price (EUR/kWh) = Price (EUR/liter) ÷ 10.0</w:t>
      </w:r>
    </w:p>
    <w:p>
      <w:pPr>
        <w:spacing w:after="120" w:line="276"/>
      </w:pPr>
      <w:r>
        <w:rPr>
          <w:rFonts w:ascii="Arial" w:cs="Arial" w:eastAsia="Arial" w:hAnsi="Arial"/>
          <w:sz w:val="22"/>
          <w:szCs w:val="22"/>
        </w:rPr>
        <w:t xml:space="preserve">Note: The exact LHV varies by diesel grade and season. The European standard EN 590 specifies a minimum of 35.0 MJ/liter.</w:t>
      </w:r>
    </w:p>
    <w:p>
      <w:pPr>
        <w:pStyle w:val="Heading2"/>
        <w:spacing w:before="240" w:after="120"/>
      </w:pPr>
      <w:r>
        <w:rPr>
          <w:rFonts w:ascii="Arial" w:cs="Arial" w:eastAsia="Arial" w:hAnsi="Arial"/>
        </w:rPr>
        <w:t xml:space="preserve">3.3 Annual Average Prices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1800"/>
        <w:gridCol w:w="1800"/>
        <w:gridCol w:w="960"/>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Metric</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2023</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2024</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2025</w:t>
            </w:r>
          </w:p>
        </w:tc>
        <w:tc>
          <w:tcPr>
            <w:tcW w:type="dxa" w:w="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Unit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Diesel pump price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1.843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1.890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1.864</w:t>
            </w:r>
          </w:p>
        </w:tc>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EUR/liter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Converted to kWh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0.1843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0.1890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0.1864</w:t>
            </w:r>
          </w:p>
        </w:tc>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EUR/kWh</w:t>
            </w:r>
          </w:p>
        </w:tc>
      </w:tr>
    </w:tbl>
    <w:p>
      <w:pPr>
        <w:spacing w:after="120" w:line="276"/>
      </w:pPr>
      <w:r>
        <w:rPr>
          <w:rFonts w:ascii="Arial" w:cs="Arial" w:eastAsia="Arial" w:hAnsi="Arial"/>
          <w:sz w:val="22"/>
          <w:szCs w:val="22"/>
        </w:rPr>
        <w:t xml:space="preserve">Source: CBS StatLine 80416ENG; EU Weekly Oil Bulletin; NL Times.</w:t>
      </w:r>
    </w:p>
    <w:p>
      <w:pPr>
        <w:spacing w:after="120" w:line="276"/>
      </w:pPr>
      <w:r>
        <w:rPr>
          <w:rFonts w:ascii="Arial" w:cs="Arial" w:eastAsia="Arial" w:hAnsi="Arial"/>
          <w:sz w:val="22"/>
          <w:szCs w:val="22"/>
        </w:rPr>
        <w:t xml:space="preserve">Note: These are pump prices including excise duty (€0.429/liter) and 21% VAT. For wholesale/import prices, subtract approximately €0.64/liter in taxes.</w:t>
      </w:r>
    </w:p>
    <w:p>
      <w:r>
        <w:br w:type="page"/>
      </w:r>
    </w:p>
    <w:p>
      <w:pPr>
        <w:pStyle w:val="Heading1"/>
        <w:spacing w:before="240" w:after="120"/>
      </w:pPr>
      <w:r>
        <w:rPr>
          <w:rFonts w:ascii="Arial" w:cs="Arial" w:eastAsia="Arial" w:hAnsi="Arial"/>
        </w:rPr>
        <w:t xml:space="preserve">4. Hydrogen</w:t>
      </w:r>
    </w:p>
    <w:p>
      <w:pPr>
        <w:pStyle w:val="Heading2"/>
        <w:spacing w:before="240" w:after="120"/>
      </w:pPr>
      <w:r>
        <w:rPr>
          <w:rFonts w:ascii="Arial" w:cs="Arial" w:eastAsia="Arial" w:hAnsi="Arial"/>
        </w:rPr>
        <w:t xml:space="preserve">4.1 Data Source</w:t>
      </w:r>
    </w:p>
    <w:p>
      <w:pPr>
        <w:spacing w:after="120" w:line="276"/>
      </w:pPr>
      <w:r>
        <w:rPr>
          <w:rFonts w:ascii="Arial" w:cs="Arial" w:eastAsia="Arial" w:hAnsi="Arial"/>
          <w:sz w:val="22"/>
          <w:szCs w:val="22"/>
        </w:rPr>
        <w:t xml:space="preserve">Hydrogen pricing in the Netherlands and Europe is still in an early market phase. There is no liquid spot market comparable to electricity or gas. Key sources include the European Hydrogen Observatory (production cost estimates), Hyxchange (Dutch hydrogen exchange platform with HYCLICX index), and S&amp;P Global Platts Hydrogen Price Assessments.</w:t>
      </w:r>
    </w:p>
    <w:p>
      <w:pPr>
        <w:spacing w:after="80"/>
      </w:pPr>
      <w:hyperlink w:history="1" r:id="rIdiat0rue1r9f2sqcky8cxx">
        <w:r>
          <w:rPr>
            <w:rStyle w:val="Hyperlink"/>
            <w:rFonts w:ascii="Arial" w:cs="Arial" w:eastAsia="Arial" w:hAnsi="Arial"/>
            <w:sz w:val="20"/>
            <w:szCs w:val="20"/>
          </w:rPr>
          <w:t xml:space="preserve">European Hydrogen Observatory – Cost of Production</w:t>
        </w:r>
      </w:hyperlink>
    </w:p>
    <w:p>
      <w:pPr>
        <w:spacing w:after="80"/>
      </w:pPr>
      <w:hyperlink w:history="1" r:id="rId85jkhbiywwefljtzfgugl">
        <w:r>
          <w:rPr>
            <w:rStyle w:val="Hyperlink"/>
            <w:rFonts w:ascii="Arial" w:cs="Arial" w:eastAsia="Arial" w:hAnsi="Arial"/>
            <w:sz w:val="20"/>
            <w:szCs w:val="20"/>
          </w:rPr>
          <w:t xml:space="preserve">Hyxchange – HYCLICX Index (NL)</w:t>
        </w:r>
      </w:hyperlink>
    </w:p>
    <w:p>
      <w:pPr>
        <w:spacing w:after="80"/>
      </w:pPr>
      <w:hyperlink w:history="1" r:id="rIdsjj9yx4kgg2kcmmciz7jc">
        <w:r>
          <w:rPr>
            <w:rStyle w:val="Hyperlink"/>
            <w:rFonts w:ascii="Arial" w:cs="Arial" w:eastAsia="Arial" w:hAnsi="Arial"/>
            <w:sz w:val="20"/>
            <w:szCs w:val="20"/>
          </w:rPr>
          <w:t xml:space="preserve">PV Magazine – Price Gap Conventional/Renewable H2</w:t>
        </w:r>
      </w:hyperlink>
    </w:p>
    <w:p>
      <w:pPr>
        <w:spacing w:after="80"/>
      </w:pPr>
      <w:hyperlink w:history="1" r:id="rId0hsd93hqqnrdwdpj5gm36">
        <w:r>
          <w:rPr>
            <w:rStyle w:val="Hyperlink"/>
            <w:rFonts w:ascii="Arial" w:cs="Arial" w:eastAsia="Arial" w:hAnsi="Arial"/>
            <w:sz w:val="20"/>
            <w:szCs w:val="20"/>
          </w:rPr>
          <w:t xml:space="preserve">IMARC – Green Hydrogen Price Index</w:t>
        </w:r>
      </w:hyperlink>
    </w:p>
    <w:p>
      <w:pPr>
        <w:pStyle w:val="Heading2"/>
        <w:spacing w:before="240" w:after="120"/>
      </w:pPr>
      <w:r>
        <w:rPr>
          <w:rFonts w:ascii="Arial" w:cs="Arial" w:eastAsia="Arial" w:hAnsi="Arial"/>
        </w:rPr>
        <w:t xml:space="preserve">4.2 Conversion to EUR/kWh</w:t>
      </w:r>
    </w:p>
    <w:p>
      <w:pPr>
        <w:spacing w:after="120" w:line="276"/>
      </w:pPr>
      <w:r>
        <w:rPr>
          <w:rFonts w:ascii="Arial" w:cs="Arial" w:eastAsia="Arial" w:hAnsi="Arial"/>
          <w:sz w:val="22"/>
          <w:szCs w:val="22"/>
        </w:rPr>
        <w:t xml:space="preserve">Hydrogen prices are typically quoted in EUR/kg. The lower heating value (LHV) of hydrogen is 120 MJ/kg ≈ 33.33 kWh/kg:</w:t>
      </w:r>
    </w:p>
    <w:p>
      <w:pPr>
        <w:spacing w:after="120"/>
        <w:jc w:val="center"/>
      </w:pPr>
      <w:r>
        <w:rPr>
          <w:rFonts w:ascii="Arial" w:cs="Arial" w:eastAsia="Arial" w:hAnsi="Arial"/>
          <w:b/>
          <w:bCs/>
          <w:sz w:val="22"/>
          <w:szCs w:val="22"/>
        </w:rPr>
        <w:t xml:space="preserve">Price (EUR/kWh) = Price (EUR/kg) ÷ 33.33</w:t>
      </w:r>
    </w:p>
    <w:p>
      <w:pPr>
        <w:pStyle w:val="Heading2"/>
        <w:spacing w:before="240" w:after="120"/>
      </w:pPr>
      <w:r>
        <w:rPr>
          <w:rFonts w:ascii="Arial" w:cs="Arial" w:eastAsia="Arial" w:hAnsi="Arial"/>
        </w:rPr>
        <w:t xml:space="preserve">4.3 Grey vs. Green Hydrogen</w:t>
      </w:r>
    </w:p>
    <w:p>
      <w:pPr>
        <w:spacing w:after="120" w:line="276"/>
      </w:pPr>
      <w:r>
        <w:rPr>
          <w:rFonts w:ascii="Arial" w:cs="Arial" w:eastAsia="Arial" w:hAnsi="Arial"/>
          <w:sz w:val="22"/>
          <w:szCs w:val="22"/>
        </w:rPr>
        <w:t xml:space="preserve">Grey hydrogen is produced via Steam Methane Reforming (SMR) of natural gas without carbon capture. It is the cheapest production method and dominates current industrial use. Green hydrogen is produced via electrolysis powered by renewable electricity and has near-zero direct CO2 emissions but significantly higher cost.</w:t>
      </w:r>
    </w:p>
    <w:p>
      <w:pPr>
        <w:pStyle w:val="Heading2"/>
        <w:spacing w:before="240" w:after="120"/>
      </w:pPr>
      <w:r>
        <w:rPr>
          <w:rFonts w:ascii="Arial" w:cs="Arial" w:eastAsia="Arial" w:hAnsi="Arial"/>
        </w:rPr>
        <w:t xml:space="preserve">4.4 Annual Average Prices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200"/>
        <w:gridCol w:w="1200"/>
        <w:gridCol w:w="1200"/>
        <w:gridCol w:w="1200"/>
        <w:gridCol w:w="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Type</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2023</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2024</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2025</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2023</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2024</w:t>
            </w:r>
          </w:p>
        </w:tc>
        <w:tc>
          <w:tcPr>
            <w:tcW w:type="dxa" w:w="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2025</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EUR/kg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EUR/kg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EUR/kg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EUR/kWh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EUR/kWh</w:t>
            </w:r>
          </w:p>
        </w:tc>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EUR/kWh</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Grey (SMR)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2.20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0.0750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0.0600</w:t>
            </w:r>
          </w:p>
        </w:tc>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0.0660</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Green (Electrolysis)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6.50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7.50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0.1950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0.2100</w:t>
            </w:r>
          </w:p>
        </w:tc>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0.2250</w:t>
            </w:r>
          </w:p>
        </w:tc>
      </w:tr>
    </w:tbl>
    <w:p>
      <w:pPr>
        <w:spacing w:after="120" w:line="276"/>
      </w:pPr>
      <w:r>
        <w:rPr>
          <w:rFonts w:ascii="Arial" w:cs="Arial" w:eastAsia="Arial" w:hAnsi="Arial"/>
          <w:sz w:val="22"/>
          <w:szCs w:val="22"/>
        </w:rPr>
        <w:t xml:space="preserve">Source: European Hydrogen Observatory; S&amp;P Platts; PV Magazine; IMARC Group.</w:t>
      </w:r>
    </w:p>
    <w:p>
      <w:pPr>
        <w:spacing w:after="120" w:line="276"/>
      </w:pPr>
      <w:r>
        <w:rPr>
          <w:rFonts w:ascii="Arial" w:cs="Arial" w:eastAsia="Arial" w:hAnsi="Arial"/>
          <w:sz w:val="22"/>
          <w:szCs w:val="22"/>
        </w:rPr>
        <w:t xml:space="preserve">Note: These are production cost estimates, not retail/delivery prices. Actual delivered prices may be 2-3x higher for green hydrogen at refueling stations (e.g., €26.75/kg at retail stations in NL).</w:t>
      </w:r>
    </w:p>
    <w:p>
      <w:r>
        <w:br w:type="page"/>
      </w:r>
    </w:p>
    <w:p>
      <w:pPr>
        <w:pStyle w:val="Heading1"/>
        <w:spacing w:before="240" w:after="120"/>
      </w:pPr>
      <w:r>
        <w:rPr>
          <w:rFonts w:ascii="Arial" w:cs="Arial" w:eastAsia="Arial" w:hAnsi="Arial"/>
        </w:rPr>
        <w:t xml:space="preserve">5. Heat (District Heating)</w:t>
      </w:r>
    </w:p>
    <w:p>
      <w:pPr>
        <w:pStyle w:val="Heading2"/>
        <w:spacing w:before="240" w:after="120"/>
      </w:pPr>
      <w:r>
        <w:rPr>
          <w:rFonts w:ascii="Arial" w:cs="Arial" w:eastAsia="Arial" w:hAnsi="Arial"/>
        </w:rPr>
        <w:t xml:space="preserve">5.1 Data Source</w:t>
      </w:r>
    </w:p>
    <w:p>
      <w:pPr>
        <w:spacing w:after="120" w:line="276"/>
      </w:pPr>
      <w:r>
        <w:rPr>
          <w:rFonts w:ascii="Arial" w:cs="Arial" w:eastAsia="Arial" w:hAnsi="Arial"/>
          <w:sz w:val="22"/>
          <w:szCs w:val="22"/>
        </w:rPr>
        <w:t xml:space="preserve">District heating tariffs in the Netherlands are regulated by the ACM (Autoriteit Consument &amp; Markt). The ACM sets annual maximum tariffs that heat suppliers must respect. These tariffs are based on the NMDA principle (Niet Meer Dan Anders, No More Than Otherwise), meaning heat prices should not exceed what consumers would pay for gas-based heating.</w:t>
      </w:r>
    </w:p>
    <w:p>
      <w:pPr>
        <w:spacing w:after="80"/>
      </w:pPr>
      <w:hyperlink w:history="1" r:id="rIdgclnrfvokrqly-fzmugsz">
        <w:r>
          <w:rPr>
            <w:rStyle w:val="Hyperlink"/>
            <w:rFonts w:ascii="Arial" w:cs="Arial" w:eastAsia="Arial" w:hAnsi="Arial"/>
            <w:sz w:val="20"/>
            <w:szCs w:val="20"/>
          </w:rPr>
          <w:t xml:space="preserve">ACM – Tarieven warmte en koude</w:t>
        </w:r>
      </w:hyperlink>
    </w:p>
    <w:p>
      <w:pPr>
        <w:spacing w:after="80"/>
      </w:pPr>
      <w:hyperlink w:history="1" r:id="rIdxef8ukprk6jhlq9jshanj">
        <w:r>
          <w:rPr>
            <w:rStyle w:val="Hyperlink"/>
            <w:rFonts w:ascii="Arial" w:cs="Arial" w:eastAsia="Arial" w:hAnsi="Arial"/>
            <w:sz w:val="20"/>
            <w:szCs w:val="20"/>
          </w:rPr>
          <w:t xml:space="preserve">ACM – Tarievenbesluit 2025</w:t>
        </w:r>
      </w:hyperlink>
    </w:p>
    <w:p>
      <w:pPr>
        <w:spacing w:after="80"/>
      </w:pPr>
      <w:hyperlink w:history="1" r:id="rIdzob9bdud5uyz6jc2tmkxr">
        <w:r>
          <w:rPr>
            <w:rStyle w:val="Hyperlink"/>
            <w:rFonts w:ascii="Arial" w:cs="Arial" w:eastAsia="Arial" w:hAnsi="Arial"/>
            <w:sz w:val="20"/>
            <w:szCs w:val="20"/>
          </w:rPr>
          <w:t xml:space="preserve">ACM – Tarievenbesluit 2024</w:t>
        </w:r>
      </w:hyperlink>
    </w:p>
    <w:p>
      <w:pPr>
        <w:spacing w:after="80"/>
      </w:pPr>
      <w:hyperlink w:history="1" r:id="rIdkkvgyjqyaw3ohuvpzdg8z">
        <w:r>
          <w:rPr>
            <w:rStyle w:val="Hyperlink"/>
            <w:rFonts w:ascii="Arial" w:cs="Arial" w:eastAsia="Arial" w:hAnsi="Arial"/>
            <w:sz w:val="20"/>
            <w:szCs w:val="20"/>
          </w:rPr>
          <w:t xml:space="preserve">ACM – Tarievenbesluit 2023</w:t>
        </w:r>
      </w:hyperlink>
    </w:p>
    <w:p>
      <w:pPr>
        <w:pStyle w:val="Heading2"/>
        <w:spacing w:before="240" w:after="120"/>
      </w:pPr>
      <w:r>
        <w:rPr>
          <w:rFonts w:ascii="Arial" w:cs="Arial" w:eastAsia="Arial" w:hAnsi="Arial"/>
        </w:rPr>
        <w:t xml:space="preserve">5.2 Conversion to EUR/kWh</w:t>
      </w:r>
    </w:p>
    <w:p>
      <w:pPr>
        <w:spacing w:after="120" w:line="276"/>
      </w:pPr>
      <w:r>
        <w:rPr>
          <w:rFonts w:ascii="Arial" w:cs="Arial" w:eastAsia="Arial" w:hAnsi="Arial"/>
          <w:sz w:val="22"/>
          <w:szCs w:val="22"/>
        </w:rPr>
        <w:t xml:space="preserve">ACM tariffs are published in EUR/GJ (including 9% BTW for heat). The conversion is:</w:t>
      </w:r>
    </w:p>
    <w:p>
      <w:pPr>
        <w:spacing w:after="120"/>
        <w:jc w:val="center"/>
      </w:pPr>
      <w:r>
        <w:rPr>
          <w:rFonts w:ascii="Arial" w:cs="Arial" w:eastAsia="Arial" w:hAnsi="Arial"/>
          <w:b/>
          <w:bCs/>
          <w:sz w:val="22"/>
          <w:szCs w:val="22"/>
        </w:rPr>
        <w:t xml:space="preserve">Price (EUR/kWh) = Price (EUR/GJ) ÷ 277.778</w:t>
      </w:r>
    </w:p>
    <w:p>
      <w:pPr>
        <w:spacing w:after="120" w:line="276"/>
      </w:pPr>
      <w:r>
        <w:rPr>
          <w:rFonts w:ascii="Arial" w:cs="Arial" w:eastAsia="Arial" w:hAnsi="Arial"/>
          <w:sz w:val="22"/>
          <w:szCs w:val="22"/>
        </w:rPr>
        <w:t xml:space="preserve">(Since 1 GJ = 277.778 kWh)</w:t>
      </w:r>
    </w:p>
    <w:p>
      <w:pPr>
        <w:pStyle w:val="Heading2"/>
        <w:spacing w:before="240" w:after="120"/>
      </w:pPr>
      <w:r>
        <w:rPr>
          <w:rFonts w:ascii="Arial" w:cs="Arial" w:eastAsia="Arial" w:hAnsi="Arial"/>
        </w:rPr>
        <w:t xml:space="preserve">5.3 Tariff Structure</w:t>
      </w:r>
    </w:p>
    <w:p>
      <w:pPr>
        <w:spacing w:after="120" w:line="276"/>
      </w:pPr>
      <w:r>
        <w:rPr>
          <w:rFonts w:ascii="Arial" w:cs="Arial" w:eastAsia="Arial" w:hAnsi="Arial"/>
          <w:sz w:val="22"/>
          <w:szCs w:val="22"/>
        </w:rPr>
        <w:t xml:space="preserve">The ACM tariff consists of a variable component (EUR/GJ consumed) and fixed components (annual connection fee and metering fee). For energy modeling purposes, the variable tariff per GJ is most relevant as it represents the marginal cost of heat consumption.</w:t>
      </w:r>
    </w:p>
    <w:p>
      <w:pPr>
        <w:pStyle w:val="Heading2"/>
        <w:spacing w:before="240" w:after="120"/>
      </w:pPr>
      <w:r>
        <w:rPr>
          <w:rFonts w:ascii="Arial" w:cs="Arial" w:eastAsia="Arial" w:hAnsi="Arial"/>
        </w:rPr>
        <w:t xml:space="preserve">5.4 Annual Tariffs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600"/>
        <w:gridCol w:w="1600"/>
        <w:gridCol w:w="1600"/>
        <w:gridCol w:w="9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Year</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Variable (EUR/GJ)</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Variable (EUR/kWh)</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Fixed (EUR/yr)</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Metering (EUR/yr)</w:t>
            </w:r>
          </w:p>
        </w:tc>
        <w:tc>
          <w:tcPr>
            <w:tcW w:type="dxa" w:w="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Source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2023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47.38</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0.1706</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759.88</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31.00</w:t>
            </w:r>
          </w:p>
        </w:tc>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2024</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46.69</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0.1681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618.82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31.68</w:t>
            </w:r>
          </w:p>
        </w:tc>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2025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43.79</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0.1576</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760.77</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32.80</w:t>
            </w:r>
          </w:p>
        </w:tc>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ACM</w:t>
            </w:r>
          </w:p>
        </w:tc>
      </w:tr>
    </w:tbl>
    <w:p>
      <w:pPr>
        <w:spacing w:after="120" w:line="276"/>
      </w:pPr>
      <w:r>
        <w:rPr>
          <w:rFonts w:ascii="Arial" w:cs="Arial" w:eastAsia="Arial" w:hAnsi="Arial"/>
          <w:sz w:val="22"/>
          <w:szCs w:val="22"/>
        </w:rPr>
        <w:t xml:space="preserve">Note: 2023 had a price cap applied; the uncapped maximum was €90.91/GJ. All figures include 9% BTW (heat VAT rate).</w:t>
      </w:r>
    </w:p>
    <w:p>
      <w:r>
        <w:br w:type="page"/>
      </w:r>
    </w:p>
    <w:p>
      <w:pPr>
        <w:pStyle w:val="Heading1"/>
        <w:spacing w:before="240" w:after="120"/>
      </w:pPr>
      <w:r>
        <w:rPr>
          <w:rFonts w:ascii="Arial" w:cs="Arial" w:eastAsia="Arial" w:hAnsi="Arial"/>
        </w:rPr>
        <w:t xml:space="preserve">6. Combined Summary Table</w:t>
      </w:r>
    </w:p>
    <w:p>
      <w:pPr>
        <w:spacing w:after="120" w:line="276"/>
      </w:pPr>
      <w:r>
        <w:rPr>
          <w:rFonts w:ascii="Arial" w:cs="Arial" w:eastAsia="Arial" w:hAnsi="Arial"/>
          <w:sz w:val="22"/>
          <w:szCs w:val="22"/>
        </w:rPr>
        <w:t xml:space="preserve">The following table provides annual average prices for all energy carriers in EUR/kWh: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700"/>
        <w:gridCol w:w="1700"/>
        <w:gridCol w:w="1700"/>
        <w:gridCol w:w="960"/>
      </w:tblGrid>
      <w:tr>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Energy Carrier</w:t>
            </w:r>
          </w:p>
        </w:tc>
        <w:tc>
          <w:tcPr>
            <w:tcW w:type="dxa" w:w="1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2023 (EUR/kWh)</w:t>
            </w:r>
          </w:p>
        </w:tc>
        <w:tc>
          <w:tcPr>
            <w:tcW w:type="dxa" w:w="1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2024 (EUR/kWh)</w:t>
            </w:r>
          </w:p>
        </w:tc>
        <w:tc>
          <w:tcPr>
            <w:tcW w:type="dxa" w:w="1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2025 (EUR/kWh)</w:t>
            </w:r>
          </w:p>
        </w:tc>
        <w:tc>
          <w:tcPr>
            <w:tcW w:type="dxa" w:w="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Resolution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Electricity (wholesale)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0.0970</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0.0780</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0.0850</w:t>
            </w:r>
          </w:p>
        </w:tc>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15-min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Methane (TTF wholesale)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0.0396</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0.0346</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0.0407</w:t>
            </w:r>
          </w:p>
        </w:tc>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Monthly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Petroleum/Diesel (pump)</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0.1843</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0.1890</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0.1864</w:t>
            </w:r>
          </w:p>
        </w:tc>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Monthly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Hydrogen – Grey</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0.0750</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0.0600</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0.0660</w:t>
            </w:r>
          </w:p>
        </w:tc>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Annual</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Hydrogen – Green</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0.1950</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0.2100</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0.2250</w:t>
            </w:r>
          </w:p>
        </w:tc>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Annual</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Heat (district, ACM max)</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0.1706</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0.1681</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0.1576</w:t>
            </w:r>
          </w:p>
        </w:tc>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Annual</w:t>
            </w:r>
          </w:p>
        </w:tc>
      </w:tr>
    </w:tbl>
    <w:p>
      <w:pPr>
        <w:spacing w:after="120" w:line="276"/>
      </w:pPr>
      <w:r>
        <w:rPr>
          <w:rFonts w:ascii="Arial" w:cs="Arial" w:eastAsia="Arial" w:hAnsi="Arial"/>
          <w:sz w:val="22"/>
          <w:szCs w:val="22"/>
        </w:rPr>
        <w:t xml:space="preserve"/>
      </w:r>
    </w:p>
    <w:p>
      <w:pPr>
        <w:spacing w:after="120" w:line="276"/>
      </w:pPr>
      <w:r>
        <w:rPr>
          <w:rFonts w:ascii="Arial" w:cs="Arial" w:eastAsia="Arial" w:hAnsi="Arial"/>
          <w:b/>
          <w:bCs/>
          <w:sz w:val="22"/>
          <w:szCs w:val="22"/>
        </w:rPr>
        <w:t xml:space="preserve">Important notes:</w:t>
      </w:r>
    </w:p>
    <w:p>
      <w:pPr>
        <w:spacing w:after="120" w:line="276"/>
      </w:pPr>
      <w:r>
        <w:rPr>
          <w:rFonts w:ascii="Arial" w:cs="Arial" w:eastAsia="Arial" w:hAnsi="Arial"/>
          <w:sz w:val="22"/>
          <w:szCs w:val="22"/>
        </w:rPr>
        <w:t xml:space="preserve">Electricity and methane prices are wholesale prices without taxes/network costs. Diesel prices are pump prices including all taxes. Hydrogen prices are production cost estimates. Heat prices are ACM maximum tariffs including 9% VAT. For full end-user costs, energy taxes (energiebelasting, ODE) must be added to electricity and gas prices – see the Import Taxes document.</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i/>
        <w:iCs/>
        <w:color w:val="888888"/>
        <w:sz w:val="18"/>
        <w:szCs w:val="18"/>
      </w:rPr>
      <w:t xml:space="preserve">Energy Carrier Prices – Netherlands – Reference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gmyxhanvgluiu0oi9_q8q" Type="http://schemas.openxmlformats.org/officeDocument/2006/relationships/hyperlink" Target="https://transparency.entsoe.eu/transmission-domain/r2/dayAheadPrices/show" TargetMode="External"/><Relationship Id="rId28crgy8phqzd_pjyfmkfo" Type="http://schemas.openxmlformats.org/officeDocument/2006/relationships/hyperlink" Target="https://newtransparency.entsoe.eu/market/energyPrices" TargetMode="External"/><Relationship Id="rIdzjbhpl5ghkcnbi2-pfjz1" Type="http://schemas.openxmlformats.org/officeDocument/2006/relationships/hyperlink" Target="https://transparency.entsoe.eu/content/static_content/Static%20content/web%20api/Guide.html" TargetMode="External"/><Relationship Id="rIdypzemxlg4-gnr9eqhktuh" Type="http://schemas.openxmlformats.org/officeDocument/2006/relationships/hyperlink" Target="https://www.tennet.eu/nl-en/news/annual-market-update-2023-electricity-market-review-focused-netherlands-and-germany-including" TargetMode="External"/><Relationship Id="rIdldlc3bgvpmpghy55qf6jb" Type="http://schemas.openxmlformats.org/officeDocument/2006/relationships/hyperlink" Target="https://www.ice.com/products/27996665/Dutch-TTF-Natural-Gas-Futures/data" TargetMode="External"/><Relationship Id="rIdu1fyxkppvjpcg4oy_fffa" Type="http://schemas.openxmlformats.org/officeDocument/2006/relationships/hyperlink" Target="https://www.investing.com/commodities/dutch-ttf-gas-c1-futures-historical-data" TargetMode="External"/><Relationship Id="rIdvvwjc0xlsrnph-ekczufl" Type="http://schemas.openxmlformats.org/officeDocument/2006/relationships/hyperlink" Target="https://tradingeconomics.com/commodity/eu-natural-gas" TargetMode="External"/><Relationship Id="rIda1-4wygky-fiw12y3_0dk" Type="http://schemas.openxmlformats.org/officeDocument/2006/relationships/hyperlink" Target="https://www.statista.com/statistics/1267202/weekly-dutch-ttf-gas-futures/" TargetMode="External"/><Relationship Id="rIdjtiwfomcea4rfllvyyyxr" Type="http://schemas.openxmlformats.org/officeDocument/2006/relationships/hyperlink" Target="https://www.cbs.nl/en-gb/figures/detail/80416ENG" TargetMode="External"/><Relationship Id="rIdj9u37pmew3ezl65oyybmw" Type="http://schemas.openxmlformats.org/officeDocument/2006/relationships/hyperlink" Target="https://energy.ec.europa.eu/data-and-analysis/weekly-oil-bulletin_en" TargetMode="External"/><Relationship Id="rIdahiiti94_5c-n56dfdvtl" Type="http://schemas.openxmlformats.org/officeDocument/2006/relationships/hyperlink" Target="https://www.globalpetrolprices.com/Netherlands/diesel_prices/" TargetMode="External"/><Relationship Id="rIdiat0rue1r9f2sqcky8cxx" Type="http://schemas.openxmlformats.org/officeDocument/2006/relationships/hyperlink" Target="https://observatory.clean-hydrogen.europa.eu/index.php/hydrogen-landscape/production-trade-and-cost/cost-hydrogen-production" TargetMode="External"/><Relationship Id="rId85jkhbiywwefljtzfgugl" Type="http://schemas.openxmlformats.org/officeDocument/2006/relationships/hyperlink" Target="https://hyxchange.nl/hyclicx/" TargetMode="External"/><Relationship Id="rIdsjj9yx4kgg2kcmmciz7jc" Type="http://schemas.openxmlformats.org/officeDocument/2006/relationships/hyperlink" Target="https://www.pv-magazine.com/2025/12/03/price-gap-between-conventional-renewable-hydrogen-widens-in-europe/" TargetMode="External"/><Relationship Id="rId0hsd93hqqnrdwdpj5gm36" Type="http://schemas.openxmlformats.org/officeDocument/2006/relationships/hyperlink" Target="https://www.imarcgroup.com/green-hydrogen-pricing-report" TargetMode="External"/><Relationship Id="rIdgclnrfvokrqly-fzmugsz" Type="http://schemas.openxmlformats.org/officeDocument/2006/relationships/hyperlink" Target="https://www.acm.nl/nl/energie/warmte-en-koude/warmtetarieven/tarieven-warmte-en-koude" TargetMode="External"/><Relationship Id="rIdxef8ukprk6jhlq9jshanj" Type="http://schemas.openxmlformats.org/officeDocument/2006/relationships/hyperlink" Target="https://www.acm.nl/nl/publicaties/maximumtarieven-warmte-2025-variabel-tarief-omlaag-vaste-kosten-bijna-gelijk" TargetMode="External"/><Relationship Id="rIdzob9bdud5uyz6jc2tmkxr" Type="http://schemas.openxmlformats.org/officeDocument/2006/relationships/hyperlink" Target="https://www.acm.nl/nl/publicaties/maximumtarief-warmte-2024-iets-onder-huidige-prijsplafond" TargetMode="External"/><Relationship Id="rIdkkvgyjqyaw3ohuvpzdg8z" Type="http://schemas.openxmlformats.org/officeDocument/2006/relationships/hyperlink" Target="https://www.acm.nl/nl/publicaties/tarievenbesluit-warmteleveranciers-2023" TargetMode="External"/><Relationship Id="rId2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2026-03-24T20:55:14.995Z</dcterms:created>
  <dcterms:modified xsi:type="dcterms:W3CDTF">2026-03-24T20:55:14.995Z</dcterms:modified>
</cp:coreProperties>
</file>

<file path=docProps/custom.xml><?xml version="1.0" encoding="utf-8"?>
<Properties xmlns="http://schemas.openxmlformats.org/officeDocument/2006/custom-properties" xmlns:vt="http://schemas.openxmlformats.org/officeDocument/2006/docPropsVTypes"/>
</file>