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4E79"/>
          <w:sz w:val="40"/>
          <w:szCs w:val="40"/>
        </w:rPr>
        <w:t xml:space="preserve">Asset Lifetime – Reference Document</w:t>
      </w:r>
    </w:p>
    <w:p>
      <w:pPr>
        <w:spacing w:after="400"/>
      </w:pPr>
      <w:r>
        <w:rPr>
          <w:rFonts w:ascii="Arial" w:cs="Arial" w:eastAsia="Arial" w:hAnsi="Arial"/>
          <w:color w:val="666666"/>
          <w:sz w:val="24"/>
          <w:szCs w:val="24"/>
        </w:rPr>
        <w:t xml:space="preserve">Netherlands – AnyLogic Energy Model</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Summary Table</w:t>
      </w:r>
    </w:p>
    <w:p>
      <w:pPr>
        <w:spacing w:after="120" w:line="276"/>
      </w:pPr>
      <w:r>
        <w:rPr>
          <w:rFonts w:ascii="Arial" w:cs="Arial" w:eastAsia="Arial" w:hAnsi="Arial"/>
          <w:sz w:val="22"/>
          <w:szCs w:val="22"/>
        </w:rPr>
        <w:t xml:space="preserve">The following table shows the expected technical lifetime for each energy asset. Technical lifetime is the period during which the asset can operate at or near design capacity with normal maintenance. Economic lifetime may be shorter due to technology obsolescence or changing market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3826"/>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Asset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Technical Lifetime (years)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Economic Lifetime (years)</w:t>
            </w:r>
          </w:p>
        </w:tc>
        <w:tc>
          <w:tcPr>
            <w:tcW w:type="dxa" w:w="3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Storage Electric (Li-ion BESS)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10–15</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IRENA; BloombergNEF; manufacturers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Photovoltaic (Solar PV)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25–30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IRENA; IEC standards; PBL NL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Heat Pump Air (air-source)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Danish EA; EHPA; manufacturer specs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Photothermal (Solar Thermal)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Danish EA; IEA SHC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Windmill (Onshore Wind)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IRENA; Danish EA; PBL NL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Electrolyser (PEM)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European H2 Observatory; Danish EA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Electrolyser (Alkaline)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European H2 Observatory; Danish EA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Diesel Generator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EIA; manufacturer specs (Caterpillar, Cummins)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Methane Generator (Gas CHP)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Danish EA; Energy.nl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Gas Burner (Industrial Boiler)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JRC; Danish EA; manufacturer specs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Electric Vehicle (Passenger BEV)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8–12</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IEA; industry consensus; NL fleet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Electric Van (Commercial BEV)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Fleet management NL; Rabobank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Electric Truck (Battery-electric)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ICCT; manufacturer specs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Hydrogen Truck (Fuel Cell)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Hyundai; ICCT; Hydrogen Council</w:t>
            </w:r>
          </w:p>
        </w:tc>
      </w:tr>
    </w:tbl>
    <w:p>
      <w:r>
        <w:br w:type="page"/>
      </w:r>
    </w:p>
    <w:p>
      <w:pPr>
        <w:pStyle w:val="Heading1"/>
      </w:pPr>
      <w:r>
        <w:rPr>
          <w:rFonts w:ascii="Arial" w:cs="Arial" w:eastAsia="Arial" w:hAnsi="Arial"/>
        </w:rPr>
        <w:t xml:space="preserve">Storage Electric (Li-ion BESS)</w:t>
      </w:r>
    </w:p>
    <w:p>
      <w:pPr>
        <w:spacing w:after="120" w:line="276"/>
      </w:pPr>
      <w:r>
        <w:rPr>
          <w:rFonts w:ascii="Arial" w:cs="Arial" w:eastAsia="Arial" w:hAnsi="Arial"/>
          <w:sz w:val="22"/>
          <w:szCs w:val="22"/>
        </w:rPr>
        <w:t xml:space="preserve">Lifetime: 15 years technical; 10–15 years economic</w:t>
      </w:r>
    </w:p>
    <w:p>
      <w:pPr>
        <w:spacing w:after="120" w:line="276"/>
      </w:pPr>
      <w:r>
        <w:rPr>
          <w:rFonts w:ascii="Arial" w:cs="Arial" w:eastAsia="Arial" w:hAnsi="Arial"/>
          <w:sz w:val="22"/>
          <w:szCs w:val="22"/>
        </w:rPr>
        <w:t xml:space="preserve">Battery lifetime is typically expressed in both calendar years and cycle count. Modern Li-ion BESS systems are warranted for 10–15 years or 4,000–6,000 full cycles. Capacity degrades to ~70–80% of nameplate over this period. End-of-life batteries may have second-life applications. Stack augmentation (adding cells) can extend system life.</w:t>
      </w:r>
    </w:p>
    <w:p>
      <w:pPr>
        <w:pStyle w:val="Heading1"/>
      </w:pPr>
      <w:r>
        <w:rPr>
          <w:rFonts w:ascii="Arial" w:cs="Arial" w:eastAsia="Arial" w:hAnsi="Arial"/>
        </w:rPr>
        <w:t xml:space="preserve">Photovoltaic (Solar PV)</w:t>
      </w:r>
    </w:p>
    <w:p>
      <w:pPr>
        <w:spacing w:after="120" w:line="276"/>
      </w:pPr>
      <w:r>
        <w:rPr>
          <w:rFonts w:ascii="Arial" w:cs="Arial" w:eastAsia="Arial" w:hAnsi="Arial"/>
          <w:sz w:val="22"/>
          <w:szCs w:val="22"/>
        </w:rPr>
        <w:t xml:space="preserve">Lifetime: 30 years technical; 25–30 years economic</w:t>
      </w:r>
    </w:p>
    <w:p>
      <w:pPr>
        <w:spacing w:after="120" w:line="276"/>
      </w:pPr>
      <w:r>
        <w:rPr>
          <w:rFonts w:ascii="Arial" w:cs="Arial" w:eastAsia="Arial" w:hAnsi="Arial"/>
          <w:sz w:val="22"/>
          <w:szCs w:val="22"/>
        </w:rPr>
        <w:t xml:space="preserve">Solar PV modules have very long operational lives with minimal degradation (0.3–0.5% per year for modern panels). Inverters typically need replacement at 10–15 years. Module manufacturers commonly provide 25–30 year performance warranties. The economic lifetime is influenced by technology advancement making replacement attractive.</w:t>
      </w:r>
    </w:p>
    <w:p>
      <w:pPr>
        <w:pStyle w:val="Heading1"/>
      </w:pPr>
      <w:r>
        <w:rPr>
          <w:rFonts w:ascii="Arial" w:cs="Arial" w:eastAsia="Arial" w:hAnsi="Arial"/>
        </w:rPr>
        <w:t xml:space="preserve">Heat Pump Air (air-source)</w:t>
      </w:r>
    </w:p>
    <w:p>
      <w:pPr>
        <w:spacing w:after="120" w:line="276"/>
      </w:pPr>
      <w:r>
        <w:rPr>
          <w:rFonts w:ascii="Arial" w:cs="Arial" w:eastAsia="Arial" w:hAnsi="Arial"/>
          <w:sz w:val="22"/>
          <w:szCs w:val="22"/>
        </w:rPr>
        <w:t xml:space="preserve">Lifetime: 20 years technical; 15–20 years economic</w:t>
      </w:r>
    </w:p>
    <w:p>
      <w:pPr>
        <w:spacing w:after="120" w:line="276"/>
      </w:pPr>
      <w:r>
        <w:rPr>
          <w:rFonts w:ascii="Arial" w:cs="Arial" w:eastAsia="Arial" w:hAnsi="Arial"/>
          <w:sz w:val="22"/>
          <w:szCs w:val="22"/>
        </w:rPr>
        <w:t xml:space="preserve">Air-source heat pumps have a compressor life of 15–20 years with proper maintenance. Refrigerant may need topping up every 5–7 years. The outdoor unit has a shorter life than indoor components due to weather exposure. Dutch maintenance contracts (Feenstra, Eneco Service) help maximize lifetime.</w:t>
      </w:r>
    </w:p>
    <w:p>
      <w:pPr>
        <w:pStyle w:val="Heading1"/>
      </w:pPr>
      <w:r>
        <w:rPr>
          <w:rFonts w:ascii="Arial" w:cs="Arial" w:eastAsia="Arial" w:hAnsi="Arial"/>
        </w:rPr>
        <w:t xml:space="preserve">Windmill (Onshore Wind)</w:t>
      </w:r>
    </w:p>
    <w:p>
      <w:pPr>
        <w:spacing w:after="120" w:line="276"/>
      </w:pPr>
      <w:r>
        <w:rPr>
          <w:rFonts w:ascii="Arial" w:cs="Arial" w:eastAsia="Arial" w:hAnsi="Arial"/>
          <w:sz w:val="22"/>
          <w:szCs w:val="22"/>
        </w:rPr>
        <w:t xml:space="preserve">Lifetime: 25 years technical; 20–25 years economic</w:t>
      </w:r>
    </w:p>
    <w:p>
      <w:pPr>
        <w:spacing w:after="120" w:line="276"/>
      </w:pPr>
      <w:r>
        <w:rPr>
          <w:rFonts w:ascii="Arial" w:cs="Arial" w:eastAsia="Arial" w:hAnsi="Arial"/>
          <w:sz w:val="22"/>
          <w:szCs w:val="22"/>
        </w:rPr>
        <w:t xml:space="preserve">Modern onshore wind turbines are designed for a 20–25 year operational life. Key components: gearbox (may need replacement at 15–20 years), blades (25 years with maintenance), tower and foundation (30+ years). Lifetime extension programs can add 5–10 years. Dutch wind farms typically plan for 20–25 years with optional extension.</w:t>
      </w:r>
    </w:p>
    <w:p>
      <w:pPr>
        <w:pStyle w:val="Heading1"/>
      </w:pPr>
      <w:r>
        <w:rPr>
          <w:rFonts w:ascii="Arial" w:cs="Arial" w:eastAsia="Arial" w:hAnsi="Arial"/>
        </w:rPr>
        <w:t xml:space="preserve">Electrolyser</w:t>
      </w:r>
    </w:p>
    <w:p>
      <w:pPr>
        <w:spacing w:after="120" w:line="276"/>
      </w:pPr>
      <w:r>
        <w:rPr>
          <w:rFonts w:ascii="Arial" w:cs="Arial" w:eastAsia="Arial" w:hAnsi="Arial"/>
          <w:sz w:val="22"/>
          <w:szCs w:val="22"/>
        </w:rPr>
        <w:t xml:space="preserve">Lifetime: PEM: 20 years system, stack replacement at 60–80k hours; Alkaline: 25 years system, stack 80–100k hours</w:t>
      </w:r>
    </w:p>
    <w:p>
      <w:pPr>
        <w:spacing w:after="120" w:line="276"/>
      </w:pPr>
      <w:r>
        <w:rPr>
          <w:rFonts w:ascii="Arial" w:cs="Arial" w:eastAsia="Arial" w:hAnsi="Arial"/>
          <w:sz w:val="22"/>
          <w:szCs w:val="22"/>
        </w:rPr>
        <w:t xml:space="preserve">Electrolyser system lifetime exceeds stack lifetime. Stack replacement (a major cost event = 30–40% of initial CAPEX) is needed after 60,000–80,000 operating hours for PEM and 80,000–100,000 hours for alkaline. The balance of plant has longer life (25+ years).</w:t>
      </w:r>
    </w:p>
    <w:p>
      <w:pPr>
        <w:pStyle w:val="Heading1"/>
      </w:pPr>
      <w:r>
        <w:rPr>
          <w:rFonts w:ascii="Arial" w:cs="Arial" w:eastAsia="Arial" w:hAnsi="Arial"/>
        </w:rPr>
        <w:t xml:space="preserve">Generators (Diesel/Gas)</w:t>
      </w:r>
    </w:p>
    <w:p>
      <w:pPr>
        <w:spacing w:after="120" w:line="276"/>
      </w:pPr>
      <w:r>
        <w:rPr>
          <w:rFonts w:ascii="Arial" w:cs="Arial" w:eastAsia="Arial" w:hAnsi="Arial"/>
          <w:sz w:val="22"/>
          <w:szCs w:val="22"/>
        </w:rPr>
        <w:t xml:space="preserve">Lifetime: 25 years technical with proper maintenance</w:t>
      </w:r>
    </w:p>
    <w:p>
      <w:pPr>
        <w:spacing w:after="120" w:line="276"/>
      </w:pPr>
      <w:r>
        <w:rPr>
          <w:rFonts w:ascii="Arial" w:cs="Arial" w:eastAsia="Arial" w:hAnsi="Arial"/>
          <w:sz w:val="22"/>
          <w:szCs w:val="22"/>
        </w:rPr>
        <w:t xml:space="preserve">Diesel and gas engines are mature technologies with well-understood degradation patterns. Major overhaul intervals: every 15,000–20,000 operating hours. With regular maintenance, the engine block and frame last 25–30 years. Key replacement items: pistons, bearings, injectors, turbocharger.</w:t>
      </w:r>
    </w:p>
    <w:p>
      <w:pPr>
        <w:pStyle w:val="Heading1"/>
      </w:pPr>
      <w:r>
        <w:rPr>
          <w:rFonts w:ascii="Arial" w:cs="Arial" w:eastAsia="Arial" w:hAnsi="Arial"/>
        </w:rPr>
        <w:t xml:space="preserve">Gas Burner (Industrial Boiler)</w:t>
      </w:r>
    </w:p>
    <w:p>
      <w:pPr>
        <w:spacing w:after="120" w:line="276"/>
      </w:pPr>
      <w:r>
        <w:rPr>
          <w:rFonts w:ascii="Arial" w:cs="Arial" w:eastAsia="Arial" w:hAnsi="Arial"/>
          <w:sz w:val="22"/>
          <w:szCs w:val="22"/>
        </w:rPr>
        <w:t xml:space="preserve">Lifetime: 30 years technical</w:t>
      </w:r>
    </w:p>
    <w:p>
      <w:pPr>
        <w:spacing w:after="120" w:line="276"/>
      </w:pPr>
      <w:r>
        <w:rPr>
          <w:rFonts w:ascii="Arial" w:cs="Arial" w:eastAsia="Arial" w:hAnsi="Arial"/>
          <w:sz w:val="22"/>
          <w:szCs w:val="22"/>
        </w:rPr>
        <w:t xml:space="preserve">Industrial gas boilers are among the longest-lived energy assets. The pressure vessel and shell can last 30–40 years. Burners may need replacement at 15–20 years. Condensing boilers have slightly shorter life due to corrosion-sensitive heat exchangers.</w:t>
      </w:r>
    </w:p>
    <w:p>
      <w:pPr>
        <w:pStyle w:val="Heading1"/>
      </w:pPr>
      <w:r>
        <w:rPr>
          <w:rFonts w:ascii="Arial" w:cs="Arial" w:eastAsia="Arial" w:hAnsi="Arial"/>
        </w:rPr>
        <w:t xml:space="preserve">Vehicles</w:t>
      </w:r>
    </w:p>
    <w:p>
      <w:pPr>
        <w:spacing w:after="120" w:line="276"/>
      </w:pPr>
      <w:r>
        <w:rPr>
          <w:rFonts w:ascii="Arial" w:cs="Arial" w:eastAsia="Arial" w:hAnsi="Arial"/>
          <w:sz w:val="22"/>
          <w:szCs w:val="22"/>
        </w:rPr>
        <w:t xml:space="preserve">Lifetime: BEV car: 15 yr; Van/Truck: 12 yr</w:t>
      </w:r>
    </w:p>
    <w:p>
      <w:pPr>
        <w:spacing w:after="120" w:line="276"/>
      </w:pPr>
      <w:r>
        <w:rPr>
          <w:rFonts w:ascii="Arial" w:cs="Arial" w:eastAsia="Arial" w:hAnsi="Arial"/>
          <w:sz w:val="22"/>
          <w:szCs w:val="22"/>
        </w:rPr>
        <w:t xml:space="preserve">Vehicle technical lifetime depends on usage intensity. Passenger BEVs in NL typically have 200,000–300,000 km capacity. Commercial vans: 200,000–250,000 km. Trucks: 500,000–1,000,000 km. Battery degradation is the main life-limiting factor for BEVs. Fuel cell stack in hydrogen trucks may need replacement at ~500,000 km.</w:t>
      </w:r>
    </w:p>
    <w:p>
      <w:r>
        <w:br w:type="page"/>
      </w:r>
    </w:p>
    <w:p>
      <w:pPr>
        <w:pStyle w:val="Heading1"/>
      </w:pPr>
      <w:r>
        <w:rPr>
          <w:rFonts w:ascii="Arial" w:cs="Arial" w:eastAsia="Arial" w:hAnsi="Arial"/>
        </w:rPr>
        <w:t xml:space="preserve">Sources</w:t>
      </w:r>
    </w:p>
    <w:p>
      <w:pPr>
        <w:spacing w:after="80"/>
      </w:pPr>
      <w:hyperlink w:history="1" r:id="rId4vtkzc0vcth7nvemzy6te">
        <w:r>
          <w:rPr>
            <w:rStyle w:val="Hyperlink"/>
            <w:rFonts w:ascii="Arial" w:cs="Arial" w:eastAsia="Arial" w:hAnsi="Arial"/>
            <w:sz w:val="20"/>
            <w:szCs w:val="20"/>
          </w:rPr>
          <w:t xml:space="preserve">IRENA – Renewable Power Generation Costs 2024</w:t>
        </w:r>
      </w:hyperlink>
    </w:p>
    <w:p>
      <w:pPr>
        <w:spacing w:after="80"/>
      </w:pPr>
      <w:hyperlink w:history="1" r:id="rIdrabzfwwussfbyosdbgjls">
        <w:r>
          <w:rPr>
            <w:rStyle w:val="Hyperlink"/>
            <w:rFonts w:ascii="Arial" w:cs="Arial" w:eastAsia="Arial" w:hAnsi="Arial"/>
            <w:sz w:val="20"/>
            <w:szCs w:val="20"/>
          </w:rPr>
          <w:t xml:space="preserve">Danish Energy Agency – Technology Data Catalogues</w:t>
        </w:r>
      </w:hyperlink>
    </w:p>
    <w:p>
      <w:pPr>
        <w:spacing w:after="80"/>
      </w:pPr>
      <w:hyperlink w:history="1" r:id="rIdzjvpzkkvfhyi1ucfjl8pz">
        <w:r>
          <w:rPr>
            <w:rStyle w:val="Hyperlink"/>
            <w:rFonts w:ascii="Arial" w:cs="Arial" w:eastAsia="Arial" w:hAnsi="Arial"/>
            <w:sz w:val="20"/>
            <w:szCs w:val="20"/>
          </w:rPr>
          <w:t xml:space="preserve">European Hydrogen Observatory</w:t>
        </w:r>
      </w:hyperlink>
    </w:p>
    <w:p>
      <w:pPr>
        <w:spacing w:after="80"/>
      </w:pPr>
      <w:hyperlink w:history="1" r:id="rIdiex4szfnmxobe-qwows6e">
        <w:r>
          <w:rPr>
            <w:rStyle w:val="Hyperlink"/>
            <w:rFonts w:ascii="Arial" w:cs="Arial" w:eastAsia="Arial" w:hAnsi="Arial"/>
            <w:sz w:val="20"/>
            <w:szCs w:val="20"/>
          </w:rPr>
          <w:t xml:space="preserve">PBL Netherlands</w:t>
        </w:r>
      </w:hyperlink>
    </w:p>
    <w:p>
      <w:pPr>
        <w:spacing w:after="80"/>
      </w:pPr>
      <w:hyperlink w:history="1" r:id="rIdwb1onukznln5rnhs1myug">
        <w:r>
          <w:rPr>
            <w:rStyle w:val="Hyperlink"/>
            <w:rFonts w:ascii="Arial" w:cs="Arial" w:eastAsia="Arial" w:hAnsi="Arial"/>
            <w:sz w:val="20"/>
            <w:szCs w:val="20"/>
          </w:rPr>
          <w:t xml:space="preserve">ICCT – Heavy-Duty Vehicle Technology</w:t>
        </w:r>
      </w:hyperlink>
    </w:p>
    <w:p>
      <w:pPr>
        <w:spacing w:after="80"/>
      </w:pPr>
      <w:hyperlink w:history="1" r:id="rId7bw8njuruzajoprjpkxhn">
        <w:r>
          <w:rPr>
            <w:rStyle w:val="Hyperlink"/>
            <w:rFonts w:ascii="Arial" w:cs="Arial" w:eastAsia="Arial" w:hAnsi="Arial"/>
            <w:sz w:val="20"/>
            <w:szCs w:val="20"/>
          </w:rPr>
          <w:t xml:space="preserve">IEA – Global EV Outlook</w:t>
        </w:r>
      </w:hyperlink>
    </w:p>
    <w:p>
      <w:pPr>
        <w:spacing w:after="80"/>
      </w:pPr>
      <w:hyperlink w:history="1" r:id="rId-wf8qu7i6uhdfc5lwqqmw">
        <w:r>
          <w:rPr>
            <w:rStyle w:val="Hyperlink"/>
            <w:rFonts w:ascii="Arial" w:cs="Arial" w:eastAsia="Arial" w:hAnsi="Arial"/>
            <w:sz w:val="20"/>
            <w:szCs w:val="20"/>
          </w:rPr>
          <w:t xml:space="preserve">BloombergNEF – Battery Storage</w:t>
        </w:r>
      </w:hyperlink>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888888"/>
        <w:sz w:val="18"/>
        <w:szCs w:val="18"/>
      </w:rPr>
      <w:t xml:space="preserve">Asset Lifetime – Netherlands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4vtkzc0vcth7nvemzy6te" Type="http://schemas.openxmlformats.org/officeDocument/2006/relationships/hyperlink" Target="https://www.irena.org/Publications" TargetMode="External"/><Relationship Id="rIdrabzfwwussfbyosdbgjls" Type="http://schemas.openxmlformats.org/officeDocument/2006/relationships/hyperlink" Target="https://ens.dk/en/our-services/technology-catalogues" TargetMode="External"/><Relationship Id="rIdzjvpzkkvfhyi1ucfjl8pz" Type="http://schemas.openxmlformats.org/officeDocument/2006/relationships/hyperlink" Target="https://observatory.clean-hydrogen.europa.eu/" TargetMode="External"/><Relationship Id="rIdiex4szfnmxobe-qwows6e" Type="http://schemas.openxmlformats.org/officeDocument/2006/relationships/hyperlink" Target="https://www.pbl.nl/" TargetMode="External"/><Relationship Id="rIdwb1onukznln5rnhs1myug" Type="http://schemas.openxmlformats.org/officeDocument/2006/relationships/hyperlink" Target="https://theicct.org/" TargetMode="External"/><Relationship Id="rId7bw8njuruzajoprjpkxhn" Type="http://schemas.openxmlformats.org/officeDocument/2006/relationships/hyperlink" Target="https://www.iea.org/reports/global-ev-outlook-2024" TargetMode="External"/><Relationship Id="rId-wf8qu7i6uhdfc5lwqqmw" Type="http://schemas.openxmlformats.org/officeDocument/2006/relationships/hyperlink" Target="https://about.bnef.com/" TargetMode="External"/><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2026-03-24T21:05:46.912Z</dcterms:created>
  <dcterms:modified xsi:type="dcterms:W3CDTF">2026-03-24T21:05:46.912Z</dcterms:modified>
</cp:coreProperties>
</file>

<file path=docProps/custom.xml><?xml version="1.0" encoding="utf-8"?>
<Properties xmlns="http://schemas.openxmlformats.org/officeDocument/2006/custom-properties" xmlns:vt="http://schemas.openxmlformats.org/officeDocument/2006/docPropsVTypes"/>
</file>