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F4E79"/>
          <w:sz w:val="40"/>
          <w:szCs w:val="40"/>
        </w:rPr>
        <w:t xml:space="preserve">CAPEX per Energy Asset – Reference Document</w:t>
      </w:r>
    </w:p>
    <w:p>
      <w:pPr>
        <w:spacing w:after="400"/>
      </w:pPr>
      <w:r>
        <w:rPr>
          <w:rFonts w:ascii="Arial" w:cs="Arial" w:eastAsia="Arial" w:hAnsi="Arial"/>
          <w:color w:val="666666"/>
          <w:sz w:val="24"/>
          <w:szCs w:val="24"/>
        </w:rPr>
        <w:t xml:space="preserve">Netherlands – AnyLogic Energy Model</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rPr>
          <w:rFonts w:ascii="Arial" w:cs="Arial" w:eastAsia="Arial" w:hAnsi="Arial"/>
        </w:rPr>
        <w:t xml:space="preserve">Storage Electric (Li-ion BESS)</w:t>
      </w:r>
    </w:p>
    <w:p>
      <w:pPr>
        <w:spacing w:after="120" w:line="276"/>
      </w:pPr>
      <w:r>
        <w:rPr>
          <w:rFonts w:ascii="Arial" w:cs="Arial" w:eastAsia="Arial" w:hAnsi="Arial"/>
          <w:sz w:val="22"/>
          <w:szCs w:val="22"/>
        </w:rPr>
        <w:t xml:space="preserve">CAPEX: 180 EUR/kWh capacity (140–250 range)</w:t>
      </w:r>
    </w:p>
    <w:p>
      <w:pPr>
        <w:spacing w:after="120" w:line="276"/>
      </w:pPr>
      <w:r>
        <w:rPr>
          <w:rFonts w:ascii="Arial" w:cs="Arial" w:eastAsia="Arial" w:hAnsi="Arial"/>
          <w:sz w:val="22"/>
          <w:szCs w:val="22"/>
        </w:rPr>
        <w:t xml:space="preserve">Lithium-ion battery energy storage systems. CAPEX includes battery modules, power conversion system (PCS), battery management system (BMS), grid connection, containers, and civil works. Costs have declined 93% since 2010. The Netherlands has several operational BESS projects. Note: unit is EUR/kWh of storage capacity, not EUR/kW of power rating.</w:t>
      </w:r>
    </w:p>
    <w:p>
      <w:pPr>
        <w:pStyle w:val="Heading2"/>
      </w:pPr>
      <w:r>
        <w:rPr>
          <w:rFonts w:ascii="Arial" w:cs="Arial" w:eastAsia="Arial" w:hAnsi="Arial"/>
        </w:rPr>
        <w:t xml:space="preserve">Sources</w:t>
      </w:r>
    </w:p>
    <w:p>
      <w:pPr>
        <w:spacing w:after="80"/>
      </w:pPr>
      <w:hyperlink w:history="1" r:id="rIdjk3zig18q4gap5cdouead">
        <w:r>
          <w:rPr>
            <w:rStyle w:val="Hyperlink"/>
            <w:rFonts w:ascii="Arial" w:cs="Arial" w:eastAsia="Arial" w:hAnsi="Arial"/>
            <w:sz w:val="20"/>
            <w:szCs w:val="20"/>
          </w:rPr>
          <w:t xml:space="preserve">IRENA – Renewable Power Generation Costs 2024</w:t>
        </w:r>
      </w:hyperlink>
    </w:p>
    <w:p>
      <w:pPr>
        <w:spacing w:after="80"/>
      </w:pPr>
      <w:hyperlink w:history="1" r:id="rId7spiybuetjohgz08rky_t">
        <w:r>
          <w:rPr>
            <w:rStyle w:val="Hyperlink"/>
            <w:rFonts w:ascii="Arial" w:cs="Arial" w:eastAsia="Arial" w:hAnsi="Arial"/>
            <w:sz w:val="20"/>
            <w:szCs w:val="20"/>
          </w:rPr>
          <w:t xml:space="preserve">BloombergNEF – Battery Price Survey 2024</w:t>
        </w:r>
      </w:hyperlink>
    </w:p>
    <w:p>
      <w:pPr>
        <w:pStyle w:val="Heading1"/>
      </w:pPr>
      <w:r>
        <w:rPr>
          <w:rFonts w:ascii="Arial" w:cs="Arial" w:eastAsia="Arial" w:hAnsi="Arial"/>
        </w:rPr>
        <w:t xml:space="preserve">Photovoltaic (Solar PV)</w:t>
      </w:r>
    </w:p>
    <w:p>
      <w:pPr>
        <w:spacing w:after="120" w:line="276"/>
      </w:pPr>
      <w:r>
        <w:rPr>
          <w:rFonts w:ascii="Arial" w:cs="Arial" w:eastAsia="Arial" w:hAnsi="Arial"/>
          <w:sz w:val="22"/>
          <w:szCs w:val="22"/>
        </w:rPr>
        <w:t xml:space="preserve">CAPEX: 640 EUR/kW (500–900 range, utility-scale)</w:t>
      </w:r>
    </w:p>
    <w:p>
      <w:pPr>
        <w:spacing w:after="120" w:line="276"/>
      </w:pPr>
      <w:r>
        <w:rPr>
          <w:rFonts w:ascii="Arial" w:cs="Arial" w:eastAsia="Arial" w:hAnsi="Arial"/>
          <w:sz w:val="22"/>
          <w:szCs w:val="22"/>
        </w:rPr>
        <w:t xml:space="preserve">Utility-scale solar PV arrays. CAPEX includes modules, inverters, mounting structures, cabling, grid connection, and civil works. IRENA reports global weighted average of $691/kW in 2024, converted at ECB rate 1.08. Dutch costs may be slightly higher due to land costs and labor. Residential rooftop systems: typically 1,000–1,400 EUR/kW.</w:t>
      </w:r>
    </w:p>
    <w:p>
      <w:pPr>
        <w:pStyle w:val="Heading2"/>
      </w:pPr>
      <w:r>
        <w:rPr>
          <w:rFonts w:ascii="Arial" w:cs="Arial" w:eastAsia="Arial" w:hAnsi="Arial"/>
        </w:rPr>
        <w:t xml:space="preserve">Sources</w:t>
      </w:r>
    </w:p>
    <w:p>
      <w:pPr>
        <w:spacing w:after="80"/>
      </w:pPr>
      <w:hyperlink w:history="1" r:id="rIdvot6ccd3xzggyr-6vlerm">
        <w:r>
          <w:rPr>
            <w:rStyle w:val="Hyperlink"/>
            <w:rFonts w:ascii="Arial" w:cs="Arial" w:eastAsia="Arial" w:hAnsi="Arial"/>
            <w:sz w:val="20"/>
            <w:szCs w:val="20"/>
          </w:rPr>
          <w:t xml:space="preserve">IRENA – RPGC 2024</w:t>
        </w:r>
      </w:hyperlink>
    </w:p>
    <w:p>
      <w:pPr>
        <w:spacing w:after="80"/>
      </w:pPr>
      <w:hyperlink w:history="1" r:id="rIdauqtspkifzp16ashzbiyu">
        <w:r>
          <w:rPr>
            <w:rStyle w:val="Hyperlink"/>
            <w:rFonts w:ascii="Arial" w:cs="Arial" w:eastAsia="Arial" w:hAnsi="Arial"/>
            <w:sz w:val="20"/>
            <w:szCs w:val="20"/>
          </w:rPr>
          <w:t xml:space="preserve">SolarPower Europe – EU Market Outlook 2024-2028</w:t>
        </w:r>
      </w:hyperlink>
    </w:p>
    <w:p>
      <w:pPr>
        <w:spacing w:after="80"/>
      </w:pPr>
      <w:hyperlink w:history="1" r:id="rId-t3hqncfhjhcpwt9wekli">
        <w:r>
          <w:rPr>
            <w:rStyle w:val="Hyperlink"/>
            <w:rFonts w:ascii="Arial" w:cs="Arial" w:eastAsia="Arial" w:hAnsi="Arial"/>
            <w:sz w:val="20"/>
            <w:szCs w:val="20"/>
          </w:rPr>
          <w:t xml:space="preserve">PBL Netherlands – Energy Transition Cost Estimates</w:t>
        </w:r>
      </w:hyperlink>
    </w:p>
    <w:p>
      <w:pPr>
        <w:pStyle w:val="Heading1"/>
      </w:pPr>
      <w:r>
        <w:rPr>
          <w:rFonts w:ascii="Arial" w:cs="Arial" w:eastAsia="Arial" w:hAnsi="Arial"/>
        </w:rPr>
        <w:t xml:space="preserve">Heat Pump Air (Air-Source)</w:t>
      </w:r>
    </w:p>
    <w:p>
      <w:pPr>
        <w:spacing w:after="120" w:line="276"/>
      </w:pPr>
      <w:r>
        <w:rPr>
          <w:rFonts w:ascii="Arial" w:cs="Arial" w:eastAsia="Arial" w:hAnsi="Arial"/>
          <w:sz w:val="22"/>
          <w:szCs w:val="22"/>
        </w:rPr>
        <w:t xml:space="preserve">CAPEX: 1,800 EUR/kW-thermal (1,200–2,800 range)</w:t>
      </w:r>
    </w:p>
    <w:p>
      <w:pPr>
        <w:spacing w:after="120" w:line="276"/>
      </w:pPr>
      <w:r>
        <w:rPr>
          <w:rFonts w:ascii="Arial" w:cs="Arial" w:eastAsia="Arial" w:hAnsi="Arial"/>
          <w:sz w:val="22"/>
          <w:szCs w:val="22"/>
        </w:rPr>
        <w:t xml:space="preserve">Air-source heat pumps for residential and small commercial heating. CAPEX includes outdoor unit, indoor unit, installation, refrigerant piping, controls, and sometimes buffer tank. Dutch market shows 4 kW residential units at €6,000–8,500 total. Costs include noise mitigation for urban installations (€2,500 extra). Subsidies available up to €3,750 (ISDE).</w:t>
      </w:r>
    </w:p>
    <w:p>
      <w:pPr>
        <w:pStyle w:val="Heading2"/>
      </w:pPr>
      <w:r>
        <w:rPr>
          <w:rFonts w:ascii="Arial" w:cs="Arial" w:eastAsia="Arial" w:hAnsi="Arial"/>
        </w:rPr>
        <w:t xml:space="preserve">Sources</w:t>
      </w:r>
    </w:p>
    <w:p>
      <w:pPr>
        <w:spacing w:after="80"/>
      </w:pPr>
      <w:hyperlink w:history="1" r:id="rIdrjapimwgydyujcjabkbj7">
        <w:r>
          <w:rPr>
            <w:rStyle w:val="Hyperlink"/>
            <w:rFonts w:ascii="Arial" w:cs="Arial" w:eastAsia="Arial" w:hAnsi="Arial"/>
            <w:sz w:val="20"/>
            <w:szCs w:val="20"/>
          </w:rPr>
          <w:t xml:space="preserve">Dutch market data / Mordor Intelligence</w:t>
        </w:r>
      </w:hyperlink>
    </w:p>
    <w:p>
      <w:pPr>
        <w:spacing w:after="80"/>
      </w:pPr>
      <w:hyperlink w:history="1" r:id="rIdfed68dpzfqnjf52p6jr-u">
        <w:r>
          <w:rPr>
            <w:rStyle w:val="Hyperlink"/>
            <w:rFonts w:ascii="Arial" w:cs="Arial" w:eastAsia="Arial" w:hAnsi="Arial"/>
            <w:sz w:val="20"/>
            <w:szCs w:val="20"/>
          </w:rPr>
          <w:t xml:space="preserve">autarc.energy – Heat Pump Costs 2025</w:t>
        </w:r>
      </w:hyperlink>
    </w:p>
    <w:p>
      <w:pPr>
        <w:spacing w:after="80"/>
      </w:pPr>
      <w:hyperlink w:history="1" r:id="rId-tz4wxzavk4th-rxs1li4">
        <w:r>
          <w:rPr>
            <w:rStyle w:val="Hyperlink"/>
            <w:rFonts w:ascii="Arial" w:cs="Arial" w:eastAsia="Arial" w:hAnsi="Arial"/>
            <w:sz w:val="20"/>
            <w:szCs w:val="20"/>
          </w:rPr>
          <w:t xml:space="preserve">EHPA – Subsidies for Residential Heat Pumps in Europe</w:t>
        </w:r>
      </w:hyperlink>
    </w:p>
    <w:p>
      <w:pPr>
        <w:pStyle w:val="Heading1"/>
      </w:pPr>
      <w:r>
        <w:rPr>
          <w:rFonts w:ascii="Arial" w:cs="Arial" w:eastAsia="Arial" w:hAnsi="Arial"/>
        </w:rPr>
        <w:t xml:space="preserve">Photothermal (Solar Thermal)</w:t>
      </w:r>
    </w:p>
    <w:p>
      <w:pPr>
        <w:spacing w:after="120" w:line="276"/>
      </w:pPr>
      <w:r>
        <w:rPr>
          <w:rFonts w:ascii="Arial" w:cs="Arial" w:eastAsia="Arial" w:hAnsi="Arial"/>
          <w:sz w:val="22"/>
          <w:szCs w:val="22"/>
        </w:rPr>
        <w:t xml:space="preserve">CAPEX: 600 EUR/kW-thermal (400–900 range)</w:t>
      </w:r>
    </w:p>
    <w:p>
      <w:pPr>
        <w:spacing w:after="120" w:line="276"/>
      </w:pPr>
      <w:r>
        <w:rPr>
          <w:rFonts w:ascii="Arial" w:cs="Arial" w:eastAsia="Arial" w:hAnsi="Arial"/>
          <w:sz w:val="22"/>
          <w:szCs w:val="22"/>
        </w:rPr>
        <w:t xml:space="preserve">Solar thermal collectors for hot water and space heating. Includes flat plate or evacuated tube collectors, mounting, piping, pump station, and storage tank. Large-scale district heating solar thermal in Denmark: 200–400 EUR/kW-th. Small residential in NL: 600–900 EUR/kW-th.</w:t>
      </w:r>
    </w:p>
    <w:p>
      <w:pPr>
        <w:pStyle w:val="Heading2"/>
      </w:pPr>
      <w:r>
        <w:rPr>
          <w:rFonts w:ascii="Arial" w:cs="Arial" w:eastAsia="Arial" w:hAnsi="Arial"/>
        </w:rPr>
        <w:t xml:space="preserve">Sources</w:t>
      </w:r>
    </w:p>
    <w:p>
      <w:pPr>
        <w:spacing w:after="80"/>
      </w:pPr>
      <w:hyperlink w:history="1" r:id="rIdnozduiggv8fsifp8quhgp">
        <w:r>
          <w:rPr>
            <w:rStyle w:val="Hyperlink"/>
            <w:rFonts w:ascii="Arial" w:cs="Arial" w:eastAsia="Arial" w:hAnsi="Arial"/>
            <w:sz w:val="20"/>
            <w:szCs w:val="20"/>
          </w:rPr>
          <w:t xml:space="preserve">Danish Energy Agency Technology Data</w:t>
        </w:r>
      </w:hyperlink>
    </w:p>
    <w:p>
      <w:pPr>
        <w:spacing w:after="80"/>
      </w:pPr>
      <w:hyperlink w:history="1" r:id="rId4-zxi2xqxdvfk6tpqazro">
        <w:r>
          <w:rPr>
            <w:rStyle w:val="Hyperlink"/>
            <w:rFonts w:ascii="Arial" w:cs="Arial" w:eastAsia="Arial" w:hAnsi="Arial"/>
            <w:sz w:val="20"/>
            <w:szCs w:val="20"/>
          </w:rPr>
          <w:t xml:space="preserve">IEA Solar Heating and Cooling Programme</w:t>
        </w:r>
      </w:hyperlink>
    </w:p>
    <w:p>
      <w:pPr>
        <w:pStyle w:val="Heading1"/>
      </w:pPr>
      <w:r>
        <w:rPr>
          <w:rFonts w:ascii="Arial" w:cs="Arial" w:eastAsia="Arial" w:hAnsi="Arial"/>
        </w:rPr>
        <w:t xml:space="preserve">Windmill (Onshore Wind)</w:t>
      </w:r>
    </w:p>
    <w:p>
      <w:pPr>
        <w:spacing w:after="120" w:line="276"/>
      </w:pPr>
      <w:r>
        <w:rPr>
          <w:rFonts w:ascii="Arial" w:cs="Arial" w:eastAsia="Arial" w:hAnsi="Arial"/>
          <w:sz w:val="22"/>
          <w:szCs w:val="22"/>
        </w:rPr>
        <w:t xml:space="preserve">CAPEX: 1,200 EUR/kW (1,000–1,500 range)</w:t>
      </w:r>
    </w:p>
    <w:p>
      <w:pPr>
        <w:spacing w:after="120" w:line="276"/>
      </w:pPr>
      <w:r>
        <w:rPr>
          <w:rFonts w:ascii="Arial" w:cs="Arial" w:eastAsia="Arial" w:hAnsi="Arial"/>
          <w:sz w:val="22"/>
          <w:szCs w:val="22"/>
        </w:rPr>
        <w:t xml:space="preserve">Onshore wind turbines. CAPEX includes turbine (nacelle, tower, blades), foundation, grid connection, roads, and development costs. IRENA global average $1,041/kW (2024). Dutch costs higher due to soil conditions (polder foundations) and permitting. PBL Netherlands estimates 1,100–1,500 EUR/kW for new Dutch projects.</w:t>
      </w:r>
    </w:p>
    <w:p>
      <w:pPr>
        <w:pStyle w:val="Heading2"/>
      </w:pPr>
      <w:r>
        <w:rPr>
          <w:rFonts w:ascii="Arial" w:cs="Arial" w:eastAsia="Arial" w:hAnsi="Arial"/>
        </w:rPr>
        <w:t xml:space="preserve">Sources</w:t>
      </w:r>
    </w:p>
    <w:p>
      <w:pPr>
        <w:spacing w:after="80"/>
      </w:pPr>
      <w:hyperlink w:history="1" r:id="rIdkoj6x5_c6syxmkjnv74gj">
        <w:r>
          <w:rPr>
            <w:rStyle w:val="Hyperlink"/>
            <w:rFonts w:ascii="Arial" w:cs="Arial" w:eastAsia="Arial" w:hAnsi="Arial"/>
            <w:sz w:val="20"/>
            <w:szCs w:val="20"/>
          </w:rPr>
          <w:t xml:space="preserve">IRENA – RPGC 2024</w:t>
        </w:r>
      </w:hyperlink>
    </w:p>
    <w:p>
      <w:pPr>
        <w:spacing w:after="80"/>
      </w:pPr>
      <w:hyperlink w:history="1" r:id="rId5s82vae0-xrts5rpmcv7n">
        <w:r>
          <w:rPr>
            <w:rStyle w:val="Hyperlink"/>
            <w:rFonts w:ascii="Arial" w:cs="Arial" w:eastAsia="Arial" w:hAnsi="Arial"/>
            <w:sz w:val="20"/>
            <w:szCs w:val="20"/>
          </w:rPr>
          <w:t xml:space="preserve">PBL Netherlands</w:t>
        </w:r>
      </w:hyperlink>
    </w:p>
    <w:p>
      <w:pPr>
        <w:pStyle w:val="Heading1"/>
      </w:pPr>
      <w:r>
        <w:rPr>
          <w:rFonts w:ascii="Arial" w:cs="Arial" w:eastAsia="Arial" w:hAnsi="Arial"/>
        </w:rPr>
        <w:t xml:space="preserve">Electrolyser</w:t>
      </w:r>
    </w:p>
    <w:p>
      <w:pPr>
        <w:spacing w:after="120" w:line="276"/>
      </w:pPr>
      <w:r>
        <w:rPr>
          <w:rFonts w:ascii="Arial" w:cs="Arial" w:eastAsia="Arial" w:hAnsi="Arial"/>
          <w:sz w:val="22"/>
          <w:szCs w:val="22"/>
        </w:rPr>
        <w:t xml:space="preserve">CAPEX: PEM: 1,400 EUR/kW (1,200–1,970); Alkaline: 1,200 EUR/kW (900–1,500)</w:t>
      </w:r>
    </w:p>
    <w:p>
      <w:pPr>
        <w:spacing w:after="120" w:line="276"/>
      </w:pPr>
      <w:r>
        <w:rPr>
          <w:rFonts w:ascii="Arial" w:cs="Arial" w:eastAsia="Arial" w:hAnsi="Arial"/>
          <w:sz w:val="22"/>
          <w:szCs w:val="22"/>
        </w:rPr>
        <w:t xml:space="preserve">Water electrolysis systems for hydrogen production. CAPEX includes electrolyser stack, balance of plant (BoP), power electronics, water treatment, gas processing, and civil works. European Hydrogen Observatory reports 1,970 EUR/kW for PEM and 1,200 EUR/kW for alkaline at 100 MW scale (2024). Danish EA recently revised estimates upward (+60% alkaline, +25% PEM vs. earlier projections).</w:t>
      </w:r>
    </w:p>
    <w:p>
      <w:pPr>
        <w:pStyle w:val="Heading2"/>
      </w:pPr>
      <w:r>
        <w:rPr>
          <w:rFonts w:ascii="Arial" w:cs="Arial" w:eastAsia="Arial" w:hAnsi="Arial"/>
        </w:rPr>
        <w:t xml:space="preserve">Sources</w:t>
      </w:r>
    </w:p>
    <w:p>
      <w:pPr>
        <w:spacing w:after="80"/>
      </w:pPr>
      <w:hyperlink w:history="1" r:id="rIdvbpgugd7s0gmsqw_anxaq">
        <w:r>
          <w:rPr>
            <w:rStyle w:val="Hyperlink"/>
            <w:rFonts w:ascii="Arial" w:cs="Arial" w:eastAsia="Arial" w:hAnsi="Arial"/>
            <w:sz w:val="20"/>
            <w:szCs w:val="20"/>
          </w:rPr>
          <w:t xml:space="preserve">European Hydrogen Observatory – Electrolyser Cost</w:t>
        </w:r>
      </w:hyperlink>
    </w:p>
    <w:p>
      <w:pPr>
        <w:spacing w:after="80"/>
      </w:pPr>
      <w:hyperlink w:history="1" r:id="rIdc_-a-0mpazzxwhutm8xyv">
        <w:r>
          <w:rPr>
            <w:rStyle w:val="Hyperlink"/>
            <w:rFonts w:ascii="Arial" w:cs="Arial" w:eastAsia="Arial" w:hAnsi="Arial"/>
            <w:sz w:val="20"/>
            <w:szCs w:val="20"/>
          </w:rPr>
          <w:t xml:space="preserve">PV Magazine – Electrolyzer Prices 2024</w:t>
        </w:r>
      </w:hyperlink>
    </w:p>
    <w:p>
      <w:pPr>
        <w:spacing w:after="80"/>
      </w:pPr>
      <w:hyperlink w:history="1" r:id="rId9xd0c-pibju2bjeayrvt0">
        <w:r>
          <w:rPr>
            <w:rStyle w:val="Hyperlink"/>
            <w:rFonts w:ascii="Arial" w:cs="Arial" w:eastAsia="Arial" w:hAnsi="Arial"/>
            <w:sz w:val="20"/>
            <w:szCs w:val="20"/>
          </w:rPr>
          <w:t xml:space="preserve">Danish Energy Agency Technology Data</w:t>
        </w:r>
      </w:hyperlink>
    </w:p>
    <w:p>
      <w:pPr>
        <w:pStyle w:val="Heading1"/>
      </w:pPr>
      <w:r>
        <w:rPr>
          <w:rFonts w:ascii="Arial" w:cs="Arial" w:eastAsia="Arial" w:hAnsi="Arial"/>
        </w:rPr>
        <w:t xml:space="preserve">Diesel Generator</w:t>
      </w:r>
    </w:p>
    <w:p>
      <w:pPr>
        <w:spacing w:after="120" w:line="276"/>
      </w:pPr>
      <w:r>
        <w:rPr>
          <w:rFonts w:ascii="Arial" w:cs="Arial" w:eastAsia="Arial" w:hAnsi="Arial"/>
          <w:sz w:val="22"/>
          <w:szCs w:val="22"/>
        </w:rPr>
        <w:t xml:space="preserve">CAPEX: 500 EUR/kW (350–700 range)</w:t>
      </w:r>
    </w:p>
    <w:p>
      <w:pPr>
        <w:spacing w:after="120" w:line="276"/>
      </w:pPr>
      <w:r>
        <w:rPr>
          <w:rFonts w:ascii="Arial" w:cs="Arial" w:eastAsia="Arial" w:hAnsi="Arial"/>
          <w:sz w:val="22"/>
          <w:szCs w:val="22"/>
        </w:rPr>
        <w:t xml:space="preserve">Diesel gensets for backup/temporary power. CAPEX includes engine-generator set, fuel tank, exhaust treatment, control panel, and enclosure. Smaller units (100–500 kW) are more expensive per kW. Tier 4 emissions compliance adds 20–30% to base cost.</w:t>
      </w:r>
    </w:p>
    <w:p>
      <w:pPr>
        <w:pStyle w:val="Heading2"/>
      </w:pPr>
      <w:r>
        <w:rPr>
          <w:rFonts w:ascii="Arial" w:cs="Arial" w:eastAsia="Arial" w:hAnsi="Arial"/>
        </w:rPr>
        <w:t xml:space="preserve">Sources</w:t>
      </w:r>
    </w:p>
    <w:p>
      <w:pPr>
        <w:spacing w:after="80"/>
      </w:pPr>
      <w:hyperlink w:history="1" r:id="rIdk09pq8sp5llfxsehuabao">
        <w:r>
          <w:rPr>
            <w:rStyle w:val="Hyperlink"/>
            <w:rFonts w:ascii="Arial" w:cs="Arial" w:eastAsia="Arial" w:hAnsi="Arial"/>
            <w:sz w:val="20"/>
            <w:szCs w:val="20"/>
          </w:rPr>
          <w:t xml:space="preserve">Thunder Said Energy – Diesel Power Generation Costs</w:t>
        </w:r>
      </w:hyperlink>
    </w:p>
    <w:p>
      <w:pPr>
        <w:spacing w:after="80"/>
      </w:pPr>
      <w:hyperlink w:history="1" r:id="rIdpu9dyw68jh9ucarhvtred">
        <w:r>
          <w:rPr>
            <w:rStyle w:val="Hyperlink"/>
            <w:rFonts w:ascii="Arial" w:cs="Arial" w:eastAsia="Arial" w:hAnsi="Arial"/>
            <w:sz w:val="20"/>
            <w:szCs w:val="20"/>
          </w:rPr>
          <w:t xml:space="preserve">EIA – Generator Construction Costs</w:t>
        </w:r>
      </w:hyperlink>
    </w:p>
    <w:p>
      <w:pPr>
        <w:pStyle w:val="Heading1"/>
      </w:pPr>
      <w:r>
        <w:rPr>
          <w:rFonts w:ascii="Arial" w:cs="Arial" w:eastAsia="Arial" w:hAnsi="Arial"/>
        </w:rPr>
        <w:t xml:space="preserve">Methane Generator (Gas CHP)</w:t>
      </w:r>
    </w:p>
    <w:p>
      <w:pPr>
        <w:spacing w:after="120" w:line="276"/>
      </w:pPr>
      <w:r>
        <w:rPr>
          <w:rFonts w:ascii="Arial" w:cs="Arial" w:eastAsia="Arial" w:hAnsi="Arial"/>
          <w:sz w:val="22"/>
          <w:szCs w:val="22"/>
        </w:rPr>
        <w:t xml:space="preserve">CAPEX: 1,000 EUR/kW-electric (700–1,400 range)</w:t>
      </w:r>
    </w:p>
    <w:p>
      <w:pPr>
        <w:spacing w:after="120" w:line="276"/>
      </w:pPr>
      <w:r>
        <w:rPr>
          <w:rFonts w:ascii="Arial" w:cs="Arial" w:eastAsia="Arial" w:hAnsi="Arial"/>
          <w:sz w:val="22"/>
          <w:szCs w:val="22"/>
        </w:rPr>
        <w:t xml:space="preserve">Natural gas combined heat and power systems. Includes gas engine or small gas turbine, heat recovery system, exhaust treatment, grid connection, and controls. Small-scale CHP (&lt;1 MW): 1,000–1,400 EUR/kW-e. Large-scale CCGT: 700–1,000 EUR/kW-e.</w:t>
      </w:r>
    </w:p>
    <w:p>
      <w:pPr>
        <w:pStyle w:val="Heading2"/>
      </w:pPr>
      <w:r>
        <w:rPr>
          <w:rFonts w:ascii="Arial" w:cs="Arial" w:eastAsia="Arial" w:hAnsi="Arial"/>
        </w:rPr>
        <w:t xml:space="preserve">Sources</w:t>
      </w:r>
    </w:p>
    <w:p>
      <w:pPr>
        <w:spacing w:after="80"/>
      </w:pPr>
      <w:hyperlink w:history="1" r:id="rIdsfjmsejtbscueynwiqfor">
        <w:r>
          <w:rPr>
            <w:rStyle w:val="Hyperlink"/>
            <w:rFonts w:ascii="Arial" w:cs="Arial" w:eastAsia="Arial" w:hAnsi="Arial"/>
            <w:sz w:val="20"/>
            <w:szCs w:val="20"/>
          </w:rPr>
          <w:t xml:space="preserve">Danish EA Technology Data – Gas Engines</w:t>
        </w:r>
      </w:hyperlink>
    </w:p>
    <w:p>
      <w:pPr>
        <w:spacing w:after="80"/>
      </w:pPr>
      <w:hyperlink w:history="1" r:id="rId6w1zihteswa4esz6yxoam">
        <w:r>
          <w:rPr>
            <w:rStyle w:val="Hyperlink"/>
            <w:rFonts w:ascii="Arial" w:cs="Arial" w:eastAsia="Arial" w:hAnsi="Arial"/>
            <w:sz w:val="20"/>
            <w:szCs w:val="20"/>
          </w:rPr>
          <w:t xml:space="preserve">Gas Turbine World – Capital Costs</w:t>
        </w:r>
      </w:hyperlink>
    </w:p>
    <w:p>
      <w:pPr>
        <w:pStyle w:val="Heading1"/>
      </w:pPr>
      <w:r>
        <w:rPr>
          <w:rFonts w:ascii="Arial" w:cs="Arial" w:eastAsia="Arial" w:hAnsi="Arial"/>
        </w:rPr>
        <w:t xml:space="preserve">Gas Burner (Industrial Boiler)</w:t>
      </w:r>
    </w:p>
    <w:p>
      <w:pPr>
        <w:spacing w:after="120" w:line="276"/>
      </w:pPr>
      <w:r>
        <w:rPr>
          <w:rFonts w:ascii="Arial" w:cs="Arial" w:eastAsia="Arial" w:hAnsi="Arial"/>
          <w:sz w:val="22"/>
          <w:szCs w:val="22"/>
        </w:rPr>
        <w:t xml:space="preserve">CAPEX: 80 EUR/kW-thermal (50–120 range)</w:t>
      </w:r>
    </w:p>
    <w:p>
      <w:pPr>
        <w:spacing w:after="120" w:line="276"/>
      </w:pPr>
      <w:r>
        <w:rPr>
          <w:rFonts w:ascii="Arial" w:cs="Arial" w:eastAsia="Arial" w:hAnsi="Arial"/>
          <w:sz w:val="22"/>
          <w:szCs w:val="22"/>
        </w:rPr>
        <w:t xml:space="preserve">Industrial natural gas boilers for process heat or space heating. Very mature technology with low CAPEX. Includes boiler, burner, flue gas system, controls, and installation. Condensing boilers: slightly higher cost but better efficiency.</w:t>
      </w:r>
    </w:p>
    <w:p>
      <w:pPr>
        <w:pStyle w:val="Heading2"/>
      </w:pPr>
      <w:r>
        <w:rPr>
          <w:rFonts w:ascii="Arial" w:cs="Arial" w:eastAsia="Arial" w:hAnsi="Arial"/>
        </w:rPr>
        <w:t xml:space="preserve">Sources</w:t>
      </w:r>
    </w:p>
    <w:p>
      <w:pPr>
        <w:spacing w:after="80"/>
      </w:pPr>
      <w:hyperlink w:history="1" r:id="rIdrlopkx_wwm_snlyag0jye">
        <w:r>
          <w:rPr>
            <w:rStyle w:val="Hyperlink"/>
            <w:rFonts w:ascii="Arial" w:cs="Arial" w:eastAsia="Arial" w:hAnsi="Arial"/>
            <w:sz w:val="20"/>
            <w:szCs w:val="20"/>
          </w:rPr>
          <w:t xml:space="preserve">JRC – Study on Large-Scale Heating and Cooling</w:t>
        </w:r>
      </w:hyperlink>
    </w:p>
    <w:p>
      <w:pPr>
        <w:spacing w:after="80"/>
      </w:pPr>
      <w:hyperlink w:history="1" r:id="rIdin2xglmcydjbxpyvifgor">
        <w:r>
          <w:rPr>
            <w:rStyle w:val="Hyperlink"/>
            <w:rFonts w:ascii="Arial" w:cs="Arial" w:eastAsia="Arial" w:hAnsi="Arial"/>
            <w:sz w:val="20"/>
            <w:szCs w:val="20"/>
          </w:rPr>
          <w:t xml:space="preserve">Danish EA Technology Data</w:t>
        </w:r>
      </w:hyperlink>
    </w:p>
    <w:p>
      <w:pPr>
        <w:pStyle w:val="Heading1"/>
      </w:pPr>
      <w:r>
        <w:rPr>
          <w:rFonts w:ascii="Arial" w:cs="Arial" w:eastAsia="Arial" w:hAnsi="Arial"/>
        </w:rPr>
        <w:t xml:space="preserve">Vehicles (EV, Van, Truck, H2 Truck)</w:t>
      </w:r>
    </w:p>
    <w:p>
      <w:pPr>
        <w:spacing w:after="120" w:line="276"/>
      </w:pPr>
      <w:r>
        <w:rPr>
          <w:rFonts w:ascii="Arial" w:cs="Arial" w:eastAsia="Arial" w:hAnsi="Arial"/>
          <w:sz w:val="22"/>
          <w:szCs w:val="22"/>
        </w:rPr>
        <w:t xml:space="preserve">CAPEX: See Excel file for per-vehicle costs</w:t>
      </w:r>
    </w:p>
    <w:p>
      <w:pPr>
        <w:spacing w:after="120" w:line="276"/>
      </w:pPr>
      <w:r>
        <w:rPr>
          <w:rFonts w:ascii="Arial" w:cs="Arial" w:eastAsia="Arial" w:hAnsi="Arial"/>
          <w:sz w:val="22"/>
          <w:szCs w:val="22"/>
        </w:rPr>
        <w:t xml:space="preserve">Vehicle CAPEX is expressed as total purchase price per vehicle: Passenger BEV €57,000; Electric Van €55,000; Battery-Electric Truck €300,000; Hydrogen Fuel Cell Truck €350,000. These are average Dutch market prices for new vehicles. Subsidies (SEPP for passenger cars, AanZET for trucks) may reduce effective cost. The BEV passenger car market in NL is mature with 40% market share in 2025.</w:t>
      </w:r>
    </w:p>
    <w:p>
      <w:pPr>
        <w:pStyle w:val="Heading2"/>
      </w:pPr>
      <w:r>
        <w:rPr>
          <w:rFonts w:ascii="Arial" w:cs="Arial" w:eastAsia="Arial" w:hAnsi="Arial"/>
        </w:rPr>
        <w:t xml:space="preserve">Sources</w:t>
      </w:r>
    </w:p>
    <w:p>
      <w:pPr>
        <w:spacing w:after="80"/>
      </w:pPr>
      <w:hyperlink w:history="1" r:id="rIdnkrhyazvg_qttcvmocl4t">
        <w:r>
          <w:rPr>
            <w:rStyle w:val="Hyperlink"/>
            <w:rFonts w:ascii="Arial" w:cs="Arial" w:eastAsia="Arial" w:hAnsi="Arial"/>
            <w:sz w:val="20"/>
            <w:szCs w:val="20"/>
          </w:rPr>
          <w:t xml:space="preserve">EAFO – Netherlands EV Overview 2025</w:t>
        </w:r>
      </w:hyperlink>
    </w:p>
    <w:p>
      <w:pPr>
        <w:spacing w:after="80"/>
      </w:pPr>
      <w:hyperlink w:history="1" r:id="rId2xgc14r_uxdnohuqjhqmz">
        <w:r>
          <w:rPr>
            <w:rStyle w:val="Hyperlink"/>
            <w:rFonts w:ascii="Arial" w:cs="Arial" w:eastAsia="Arial" w:hAnsi="Arial"/>
            <w:sz w:val="20"/>
            <w:szCs w:val="20"/>
          </w:rPr>
          <w:t xml:space="preserve">Rabobank – Battery Electric Commercial Vehicles NL</w:t>
        </w:r>
      </w:hyperlink>
    </w:p>
    <w:p>
      <w:pPr>
        <w:spacing w:after="80"/>
      </w:pPr>
      <w:hyperlink w:history="1" r:id="rIdj9bu7emx6sbmhn4gpgfqs">
        <w:r>
          <w:rPr>
            <w:rStyle w:val="Hyperlink"/>
            <w:rFonts w:ascii="Arial" w:cs="Arial" w:eastAsia="Arial" w:hAnsi="Arial"/>
            <w:sz w:val="20"/>
            <w:szCs w:val="20"/>
          </w:rPr>
          <w:t xml:space="preserve">ICCT – Netherlands EV Leadership</w:t>
        </w:r>
      </w:hyperlink>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i/>
        <w:iCs/>
        <w:color w:val="888888"/>
        <w:sz w:val="18"/>
        <w:szCs w:val="18"/>
      </w:rPr>
      <w:t xml:space="preserve">CAPEX per Energy Asset – Netherlands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jk3zig18q4gap5cdouead" Type="http://schemas.openxmlformats.org/officeDocument/2006/relationships/hyperlink" Target="https://www.irena.org/Publications" TargetMode="External"/><Relationship Id="rId7spiybuetjohgz08rky_t" Type="http://schemas.openxmlformats.org/officeDocument/2006/relationships/hyperlink" Target="https://about.bnef.com/" TargetMode="External"/><Relationship Id="rIdvot6ccd3xzggyr-6vlerm" Type="http://schemas.openxmlformats.org/officeDocument/2006/relationships/hyperlink" Target="https://www.irena.org/Publications" TargetMode="External"/><Relationship Id="rIdauqtspkifzp16ashzbiyu" Type="http://schemas.openxmlformats.org/officeDocument/2006/relationships/hyperlink" Target="https://www.solarpowereurope.org/insights/outlooks/eu-market-outlook-for-solar-power-2024-2028/detail" TargetMode="External"/><Relationship Id="rId-t3hqncfhjhcpwt9wekli" Type="http://schemas.openxmlformats.org/officeDocument/2006/relationships/hyperlink" Target="https://www.pbl.nl/" TargetMode="External"/><Relationship Id="rIdrjapimwgydyujcjabkbj7" Type="http://schemas.openxmlformats.org/officeDocument/2006/relationships/hyperlink" Target="https://www.mordorintelligence.com/industry-reports/netherlands-heat-pump-market" TargetMode="External"/><Relationship Id="rIdfed68dpzfqnjf52p6jr-u" Type="http://schemas.openxmlformats.org/officeDocument/2006/relationships/hyperlink" Target="https://www.autarc.energy/global/knowledge/waermepumpe-kosten" TargetMode="External"/><Relationship Id="rId-tz4wxzavk4th-rxs1li4" Type="http://schemas.openxmlformats.org/officeDocument/2006/relationships/hyperlink" Target="https://www.ehpa.org/" TargetMode="External"/><Relationship Id="rIdnozduiggv8fsifp8quhgp" Type="http://schemas.openxmlformats.org/officeDocument/2006/relationships/hyperlink" Target="https://ens.dk/en/our-services/technology-catalogues" TargetMode="External"/><Relationship Id="rId4-zxi2xqxdvfk6tpqazro" Type="http://schemas.openxmlformats.org/officeDocument/2006/relationships/hyperlink" Target="https://www.iea-shc.org/" TargetMode="External"/><Relationship Id="rIdkoj6x5_c6syxmkjnv74gj" Type="http://schemas.openxmlformats.org/officeDocument/2006/relationships/hyperlink" Target="https://www.irena.org/Publications" TargetMode="External"/><Relationship Id="rId5s82vae0-xrts5rpmcv7n" Type="http://schemas.openxmlformats.org/officeDocument/2006/relationships/hyperlink" Target="https://www.pbl.nl/" TargetMode="External"/><Relationship Id="rIdvbpgugd7s0gmsqw_anxaq" Type="http://schemas.openxmlformats.org/officeDocument/2006/relationships/hyperlink" Target="https://observatory.clean-hydrogen.europa.eu/hydrogen-landscape/production-trade-and-cost/electrolyser-cost" TargetMode="External"/><Relationship Id="rIdc_-a-0mpazzxwhutm8xyv" Type="http://schemas.openxmlformats.org/officeDocument/2006/relationships/hyperlink" Target="https://www.pv-magazine.com/2024/03/21/electrolyzer-prices-what-to-expect/" TargetMode="External"/><Relationship Id="rId9xd0c-pibju2bjeayrvt0" Type="http://schemas.openxmlformats.org/officeDocument/2006/relationships/hyperlink" Target="https://ens.dk/en/our-services/technology-catalogues" TargetMode="External"/><Relationship Id="rIdk09pq8sp5llfxsehuabao" Type="http://schemas.openxmlformats.org/officeDocument/2006/relationships/hyperlink" Target="https://thundersaidenergy.com/downloads/diesel-power-generation-levelized-costs/" TargetMode="External"/><Relationship Id="rIdpu9dyw68jh9ucarhvtred" Type="http://schemas.openxmlformats.org/officeDocument/2006/relationships/hyperlink" Target="https://www.eia.gov/electricity/generatorcosts/" TargetMode="External"/><Relationship Id="rIdsfjmsejtbscueynwiqfor" Type="http://schemas.openxmlformats.org/officeDocument/2006/relationships/hyperlink" Target="https://ens.dk/en/our-services/technology-catalogues" TargetMode="External"/><Relationship Id="rId6w1zihteswa4esz6yxoam" Type="http://schemas.openxmlformats.org/officeDocument/2006/relationships/hyperlink" Target="https://gasturbineworld.com/capital-costs/" TargetMode="External"/><Relationship Id="rIdrlopkx_wwm_snlyag0jye" Type="http://schemas.openxmlformats.org/officeDocument/2006/relationships/hyperlink" Target="https://publications.jrc.ec.europa.eu/repository/bitstream/JRC109006/kjna28859enn.pdf" TargetMode="External"/><Relationship Id="rIdin2xglmcydjbxpyvifgor" Type="http://schemas.openxmlformats.org/officeDocument/2006/relationships/hyperlink" Target="https://ens.dk/en/our-services/technology-catalogues" TargetMode="External"/><Relationship Id="rIdnkrhyazvg_qttcvmocl4t" Type="http://schemas.openxmlformats.org/officeDocument/2006/relationships/hyperlink" Target="https://alternative-fuels-observatory.ec.europa.eu/" TargetMode="External"/><Relationship Id="rId2xgc14r_uxdnohuqjhqmz" Type="http://schemas.openxmlformats.org/officeDocument/2006/relationships/hyperlink" Target="https://www.rabobank.com/knowledge/d011475194" TargetMode="External"/><Relationship Id="rIdj9bu7emx6sbmhn4gpgfqs" Type="http://schemas.openxmlformats.org/officeDocument/2006/relationships/hyperlink" Target="https://theicct.org/" TargetMode="External"/><Relationship Id="rId32"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2026-03-24T21:05:46.878Z</dcterms:created>
  <dcterms:modified xsi:type="dcterms:W3CDTF">2026-03-24T21:05:46.878Z</dcterms:modified>
</cp:coreProperties>
</file>

<file path=docProps/custom.xml><?xml version="1.0" encoding="utf-8"?>
<Properties xmlns="http://schemas.openxmlformats.org/officeDocument/2006/custom-properties" xmlns:vt="http://schemas.openxmlformats.org/officeDocument/2006/docPropsVTypes"/>
</file>