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OPEX per Energy Asset – Reference Document</w:t>
      </w:r>
    </w:p>
    <w:p>
      <w:pPr>
        <w:spacing w:after="4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Netherlands – AnyLogic Energy Model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OPEX (operational expenditure) components for each energy asset. OPEX is split into fixed O&amp;M (EUR/kW/year or EUR/vehicle/year) and variable O&amp;M (EUR/kWh output). Fuel costs are excluded from OPEX and tracked separately as energy carrier costs.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Fixed O&amp;M typically includes: scheduled maintenance and inspections, insurance premiums, land lease or site rental, monitoring and control systems, administrative overhead. Variable O&amp;M includes: consumables (lubricants, filters, water treatment chemicals), unscheduled maintenance, and wear-related component replacement.</w:t>
      </w:r>
    </w:p>
    <w:p>
      <w:pPr>
        <w:pStyle w:val="Heading1"/>
      </w:pPr>
      <w:r>
        <w:rPr>
          <w:rFonts w:ascii="Arial" w:cs="Arial" w:eastAsia="Arial" w:hAnsi="Arial"/>
        </w:rPr>
        <w:t xml:space="preserve">Storage Electric (Li-ion BESS)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Fixed: 8 EUR/kWh/yr; Variable: 0.5 EUR/MWh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Battery storage O&amp;M is relatively low. Main costs are monitoring, thermal management, and eventual degradation/capacity loss. Stack augmentation or replacement is typically treated as a separate capital event.</w:t>
      </w:r>
    </w:p>
    <w:p>
      <w:pPr>
        <w:pStyle w:val="Heading1"/>
      </w:pPr>
      <w:r>
        <w:rPr>
          <w:rFonts w:ascii="Arial" w:cs="Arial" w:eastAsia="Arial" w:hAnsi="Arial"/>
        </w:rPr>
        <w:t xml:space="preserve">Photovoltaic (Solar PV)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Fixed: 10 EUR/kW/yr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Solar PV has very low O&amp;M requirements. Costs include panel cleaning, inverter monitoring/replacement, vegetation management, and insurance. Inverter replacement (~every 10–15 years) may be treated separately.</w:t>
      </w:r>
    </w:p>
    <w:p>
      <w:pPr>
        <w:pStyle w:val="Heading1"/>
      </w:pPr>
      <w:r>
        <w:rPr>
          <w:rFonts w:ascii="Arial" w:cs="Arial" w:eastAsia="Arial" w:hAnsi="Arial"/>
        </w:rPr>
        <w:t xml:space="preserve">Heat Pump Air (air-source)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Fixed: 30 EUR/kW-th/yr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Includes annual maintenance contract (typical in NL: €150–200/year for residential), refrigerant checks, filter replacement, and insurance. Dutch maintenance contracts from Feenstra, Eneco Service typically cover all scheduled maintenance.</w:t>
      </w:r>
    </w:p>
    <w:p>
      <w:pPr>
        <w:pStyle w:val="Heading1"/>
      </w:pPr>
      <w:r>
        <w:rPr>
          <w:rFonts w:ascii="Arial" w:cs="Arial" w:eastAsia="Arial" w:hAnsi="Arial"/>
        </w:rPr>
        <w:t xml:space="preserve">Windmill (Onshore Wind)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Fixed: 25 EUR/kW/yr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Wind O&amp;M includes gearbox inspection, blade inspection/repair, generator maintenance, foundation monitoring, and insurance. Full-service contracts common in NL. IRENA reports significant O&amp;M cost reduction over past decade.</w:t>
      </w:r>
    </w:p>
    <w:p>
      <w:pPr>
        <w:pStyle w:val="Heading1"/>
      </w:pPr>
      <w:r>
        <w:rPr>
          <w:rFonts w:ascii="Arial" w:cs="Arial" w:eastAsia="Arial" w:hAnsi="Arial"/>
        </w:rPr>
        <w:t xml:space="preserve">Electrolyser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PEM: 35 EUR/kW/yr; Alkaline: 25 EUR/kW/yr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Excludes stack replacement (major overhaul every 60,000–80,000 operating hours = 30–40% of initial CAPEX). Includes water quality monitoring, gas quality checks, cooling system maintenance, safety inspections.</w:t>
      </w:r>
    </w:p>
    <w:p>
      <w:pPr>
        <w:pStyle w:val="Heading1"/>
      </w:pPr>
      <w:r>
        <w:rPr>
          <w:rFonts w:ascii="Arial" w:cs="Arial" w:eastAsia="Arial" w:hAnsi="Arial"/>
        </w:rPr>
        <w:t xml:space="preserve">Diesel/Gas Generators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Diesel: 15 EUR/kW/yr + 10 EUR/MWh; Gas CHP: 30 EUR/kW/yr + 8 EUR/MWh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Rotating machinery has higher O&amp;M than static assets. Includes oil changes, filter replacement, spark plug/injector maintenance, vibration monitoring, and emissions testing.</w:t>
      </w:r>
    </w:p>
    <w:p>
      <w:pPr>
        <w:pStyle w:val="Heading1"/>
      </w:pPr>
      <w:r>
        <w:rPr>
          <w:rFonts w:ascii="Arial" w:cs="Arial" w:eastAsia="Arial" w:hAnsi="Arial"/>
        </w:rPr>
        <w:t xml:space="preserve">Gas Burner (Boiler)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Fixed: 3 EUR/kW-th/yr + 1 EUR/MWh variable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Gas boilers are very low maintenance. Annual burner tuning, safety valve testing, flue gas analysis, and boiler water treatment.</w:t>
      </w:r>
    </w:p>
    <w:p>
      <w:pPr>
        <w:pStyle w:val="Heading1"/>
      </w:pPr>
      <w:r>
        <w:rPr>
          <w:rFonts w:ascii="Arial" w:cs="Arial" w:eastAsia="Arial" w:hAnsi="Arial"/>
        </w:rPr>
        <w:t xml:space="preserve">Vehicles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OPEX: BEV car: 800; Van: 1,500; E-Truck: 8,000; H2-Truck: 10,000 EUR/vehicle/yr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Vehicle O&amp;M covers scheduled maintenance (reduced for BEVs vs. ICE due to fewer moving parts), tire replacement, insurance, roadside assistance, and battery health monitoring. BEVs are typically 30–40% cheaper to maintain than diesel equivalents.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Sources</w:t>
      </w:r>
    </w:p>
    <w:p>
      <w:pPr>
        <w:spacing w:after="80"/>
      </w:pPr>
      <w:hyperlink w:history="1" r:id="rId-5kz5mwvihchsonqlhpw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IRENA – Renewable Power Generation Costs 2024</w:t>
        </w:r>
      </w:hyperlink>
    </w:p>
    <w:p>
      <w:pPr>
        <w:spacing w:after="80"/>
      </w:pPr>
      <w:hyperlink w:history="1" r:id="rIdy5cpluyt3lmb3ie8yxvh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Danish Energy Agency – Technology Data</w:t>
        </w:r>
      </w:hyperlink>
    </w:p>
    <w:p>
      <w:pPr>
        <w:spacing w:after="80"/>
      </w:pPr>
      <w:hyperlink w:history="1" r:id="rIdv1edgvap3l0vx1mftonk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European Hydrogen Observatory</w:t>
        </w:r>
      </w:hyperlink>
    </w:p>
    <w:p>
      <w:pPr>
        <w:spacing w:after="80"/>
      </w:pPr>
      <w:hyperlink w:history="1" r:id="rIdzffgfn2oxwyeswd1-q1u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Lazard – Levelized Cost of Energy+</w:t>
        </w:r>
      </w:hyperlink>
    </w:p>
    <w:p>
      <w:pPr>
        <w:spacing w:after="80"/>
      </w:pPr>
      <w:hyperlink w:history="1" r:id="rId6xg8kwzwhizcekifnkax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ANWB – Vehicle Running Costs NL</w:t>
        </w:r>
      </w:hyperlink>
    </w:p>
    <w:p>
      <w:pPr>
        <w:spacing w:after="80"/>
      </w:pPr>
      <w:hyperlink w:history="1" r:id="rIdwkgrei-qhgglzxgmz7dv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Rabobank – Battery Electric Commercial Vehicles NL</w:t>
        </w:r>
      </w:hyperlink>
    </w:p>
    <w:p>
      <w:pPr>
        <w:spacing w:after="80"/>
      </w:pPr>
      <w:hyperlink w:history="1" r:id="rIdvyyv1_yxnmcyvaqgfsug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ICCT – Total Cost of Ownership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OPEX per Energy Asset – Netherlands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-5kz5mwvihchsonqlhpwj" Type="http://schemas.openxmlformats.org/officeDocument/2006/relationships/hyperlink" Target="https://www.irena.org/Publications" TargetMode="External"/><Relationship Id="rIdy5cpluyt3lmb3ie8yxvhg" Type="http://schemas.openxmlformats.org/officeDocument/2006/relationships/hyperlink" Target="https://ens.dk/en/our-services/technology-catalogues" TargetMode="External"/><Relationship Id="rIdv1edgvap3l0vx1mftonkm" Type="http://schemas.openxmlformats.org/officeDocument/2006/relationships/hyperlink" Target="https://observatory.clean-hydrogen.europa.eu/" TargetMode="External"/><Relationship Id="rIdzffgfn2oxwyeswd1-q1uy" Type="http://schemas.openxmlformats.org/officeDocument/2006/relationships/hyperlink" Target="https://www.lazard.com/research-insights/" TargetMode="External"/><Relationship Id="rId6xg8kwzwhizcekifnkaxm" Type="http://schemas.openxmlformats.org/officeDocument/2006/relationships/hyperlink" Target="https://www.anwb.nl/auto/kosten" TargetMode="External"/><Relationship Id="rIdwkgrei-qhgglzxgmz7dv_" Type="http://schemas.openxmlformats.org/officeDocument/2006/relationships/hyperlink" Target="https://www.rabobank.com/knowledge/d011475194" TargetMode="External"/><Relationship Id="rIdvyyv1_yxnmcyvaqgfsugs" Type="http://schemas.openxmlformats.org/officeDocument/2006/relationships/hyperlink" Target="https://theicct.org/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2026-03-24T21:05:46.900Z</dcterms:created>
  <dcterms:modified xsi:type="dcterms:W3CDTF">2026-03-24T21:05:46.900Z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