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EP1 de classificação da clareza das respostas e SIC</w:t>
      </w:r>
    </w:p>
    <w:p>
      <w:r>
        <w:t>ACH2118 — Processamento de Linguagem Natural</w:t>
      </w:r>
    </w:p>
    <w:p>
      <w:r>
        <w:t>Modelo final: BERTimbau Base com ajuste fino para três classes de clareza.</w:t>
      </w:r>
    </w:p>
    <w:p>
      <w:pPr>
        <w:pStyle w:val="Heading1"/>
      </w:pPr>
      <w:r>
        <w:t>1 Integrantes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Nome completo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Número USP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[NOME COMPLETO DO INTEGRANTE 1]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[NÚMERO USP]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[NOME COMPLETO DO INTEGRANTE 2]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[NÚMERO USP]</w:t>
            </w:r>
          </w:p>
        </w:tc>
      </w:tr>
    </w:tbl>
    <w:p/>
    <w:p>
      <w:r>
        <w:t>Substituir os campos acima pelos integrantes efetivos antes da entrega.</w:t>
      </w:r>
    </w:p>
    <w:p>
      <w:pPr>
        <w:pStyle w:val="Heading1"/>
      </w:pPr>
      <w:r>
        <w:t>2 Estratégia e modelo final</w:t>
      </w:r>
    </w:p>
    <w:p>
      <w:r>
        <w:t>A tarefa classifica cada resposta textual do e-SIC em c1, c234 ou c5. O modelo final é o BERTimbau Base (neuralmind/bert-base-portuguese-cased) com uma cabeça nova de classificação em três classes. O texto original da coluna resp_text é tokenizado pelo vocabulário do modelo; a sequência usa até 512 tokens, preservando o início quando precisa truncar. A classificação usa os logits da cabeça treinada.</w:t>
      </w:r>
    </w:p>
    <w:p>
      <w:r>
        <w:t>A escolha foi fixada pela maior acurácia média em três folds internos agrupados. A diferença para a referência TF-IDF com regressão logística foi pequena; os dados observados não sustentam uma alegação de superioridade geral do BERTimbau.</w:t>
      </w:r>
    </w:p>
    <w:p>
      <w:pPr>
        <w:pStyle w:val="Heading1"/>
      </w:pPr>
      <w:r>
        <w:t>3 Pré processamento</w:t>
      </w:r>
    </w:p>
    <w:p>
      <w:r>
        <w:t>Todas as 20.092 linhas e seus rótulos originais foram mantidos, inclusive duplicatas e grupos com rótulos conflitantes. Não houve remoção de stopwords, URLs ou acentos, nem normalização do texto apresentado ao modelo. Valores não textuais em resp_text são convertidos em string. O tokenizer adiciona tokens especiais, trunca após 512 tokens e usa preenchimento dinâmico por lote.</w:t>
      </w:r>
    </w:p>
    <w:p>
      <w:r>
        <w:t>Somente para formar grupos da divisão, cada texto foi convertido para Unicode NFC, casefold e espaços em branco colapsados; o SHA-256 desse texto normalizado identificou o grupo. Nenhum grupo aparece em treino e validação da mesma divisão.</w:t>
      </w:r>
    </w:p>
    <w:p>
      <w:pPr>
        <w:pStyle w:val="Heading1"/>
      </w:pPr>
      <w:r>
        <w:t>4 Busca de parâmetros</w:t>
      </w:r>
    </w:p>
    <w:p>
      <w:r>
        <w:t>Oito configurações foram comparadas em um subconjunto fixo do desenvolvimento. As duas melhores opções seguiram para a confirmação em três folds internos. A tabela mostra as dimensões da busca e os valores fixos relevantes.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Valores examinados ou fixados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Representação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início; início + fim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Comprimento máximo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256; 512 tokens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Taxa de aprendizado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2 × 10⁻⁵; 3 × 10⁻⁵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Otimizador e regularização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AdamW; weight decay 0,01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Tamanho do lote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microbatch 2; acumulação 4; efetivo 8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Seleção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maior acurácia de validação; macro F1 em empate exato</w:t>
            </w:r>
          </w:p>
        </w:tc>
      </w:tr>
    </w:tbl>
    <w:p/>
    <w:p>
      <w:pPr>
        <w:pStyle w:val="Heading1"/>
      </w:pPr>
      <w:r>
        <w:t>5 Valores finais</w:t>
      </w:r>
    </w:p>
    <w:p>
      <w:r>
        <w:t>Representação do início com 512 tokens; taxa 2 × 10⁻⁵; AdamW com weight decay 0,01; semente 20260924; lote efetivo 8; 4.523 atualizações do otimizador, aproximadamente 1,80 época no conjunto completo. Não se usa scheduler, warmup, validação durante o ajuste final nem parada antecipada. A configuração completa e a revisão fixada do modelo base constam em configs/bert_stage5_final.json.</w:t>
      </w:r>
    </w:p>
    <w:p>
      <w:pPr>
        <w:pStyle w:val="Heading1"/>
      </w:pPr>
      <w:r>
        <w:t>6 Divisão e procedimento</w:t>
      </w:r>
    </w:p>
    <w:p>
      <w:r>
        <w:t>Um holdout externo de 3.024 respostas foi separado antes da seleção. As 17.068 respostas de desenvolvimento alimentaram três folds de StratifiedGroupKFold, com grupos disjuntos. O candidato escolhido obteve acurácia média de 45,007% e macro F1 média de 44,690% nesses folds. A referência TF-IDF, C=0,5, atingiu respectivamente 44,705% e 44,453%. A seleção precedeu a única auditoria no holdout.</w:t>
      </w:r>
    </w:p>
    <w:p>
      <w:r>
        <w:t>Após a auditoria, o mesmo protocolo congelado treinou uma nova cabeça de classificação sobre todas as 20.092 respostas por 4.523 passos. Essa execução integral produziu o checkpoint usado para preencher o arquivo de teste. O checkpoint integral contém as linhas antes reservadas ao holdout; por isso a métrica do holdout pertence ao checkpoint de auditoria, treinado somente no desenvolvimento, e não deve ser atribuída ao checkpoint integral.</w:t>
      </w:r>
    </w:p>
    <w:p>
      <w:pPr>
        <w:pStyle w:val="Heading1"/>
      </w:pPr>
      <w:r>
        <w:t>7 Resultados do modelo escolhido</w:t>
      </w:r>
    </w:p>
    <w:p>
      <w:r>
        <w:t>A tabela apresenta somente o BERTimbau escolhido, avaliado uma vez no holdout externo de 3.024 respostas, antes do treinamento integral.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Acurácia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45,966%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Macro F1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44,523%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Recall c1 (n = 952)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51,261%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Recall c234 (n = 1.036)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24,131%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Recall c5 (n = 1.036)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8"/>
              </w:rPr>
              <w:t>62,934%</w:t>
            </w:r>
          </w:p>
        </w:tc>
      </w:tr>
    </w:tbl>
    <w:p/>
    <w:p>
      <w:r>
        <w:t>O baixo recall de c234 é a principal limitação. Numa comparação pareada adicional solicitada após a auditoria, o TF-IDF obteve 45,437% de acurácia e 45,056% de macro F1 no mesmo holdout. A vantagem de 0,529 ponto percentual do BERTimbau em acurácia corresponde a 16 acertos adicionais; o teste exato de McNemar resultou em p = 0,590. O arquivo test1.xlsx tem 900 respostas sem rótulos, portanto não permite calcular acurácia de teste.</w:t>
      </w:r>
    </w:p>
    <w:p>
      <w:pPr>
        <w:pStyle w:val="Heading1"/>
      </w:pPr>
      <w:r>
        <w:t>8 Repositório de código</w:t>
      </w:r>
    </w:p>
    <w:p>
      <w:r>
        <w:t>https://github.com/Zennitte/ep1-claridade-esic-bertimbau</w:t>
      </w:r>
    </w:p>
    <w:p>
      <w:r>
        <w:t>O repositório público contém código, parâmetros congelados, versões e instruções. As planilhas, predições e pesos do modelo não são publicados.</w:t>
      </w:r>
    </w:p>
    <w:p>
      <w:pPr>
        <w:pStyle w:val="Heading1"/>
      </w:pPr>
      <w:r>
        <w:t>9 Reprodução</w:t>
      </w:r>
    </w:p>
    <w:p>
      <w:r>
        <w:t>1. Obter train.xlsx e test1.xlsx pelo canal autorizado da disciplina e posicioná-los na raiz do projeto. A planilha de treino esperada tem SHA-256 0e9219233664ac675fc47982bbc822acd3bb15d67fb7bfc26b67bec047e46818.</w:t>
      </w:r>
    </w:p>
    <w:p>
      <w:r>
        <w:t>2. Preparar Python 3.14 e instalar as versões de requirements.lock.txt, com PyTorch ROCm compatível. O ambiente original foi Windows 11, Radeon RX 7600, PyTorch 2.13.0+rocm10.0.0 e Transformers 4.56.2.</w:t>
      </w:r>
    </w:p>
    <w:p>
      <w:r>
        <w:t>3. Executar python src/audit_and_split.py para reconstruir a divisão e verificar os hashes esperados.</w:t>
      </w:r>
    </w:p>
    <w:p>
      <w:r>
        <w:t>4. Executar python src/run_stage6_final.py --run-id reproducao_01 para ajustar o modelo integral em GPU ROCm. A execução salva models/bert_final/ e exige aproximadamente 57 minutos no ambiente original.</w:t>
      </w:r>
    </w:p>
    <w:p>
      <w:r>
        <w:t>5. Executar python src/predict_test_xlsx.py test1.xlsx test1_predito.xlsx --sheet test1 --device cuda. O script preenche clarity na cópia e preserva resp_text.</w:t>
      </w:r>
    </w:p>
    <w:p>
      <w:r>
        <w:t>A análise do holdout pode ser reproduzida com src/run_stage5f_holdout_audit.py, sempre antes do treino integral, conforme a configuração congelada. A inferência no teste não fornece métricas sem rótulos verdadeiros.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ACH2118  |  EP1  |  Relatório técnico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